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55 — AI Third-Party, Vendor &amp; Supply-Chain Governance</w:t>
      </w:r>
    </w:p>
    <w:p>
      <w:pPr>
        <w:spacing w:after="120"/>
      </w:pPr>
      <w:r>
        <w:t>Controlled publication source — English</w:t>
      </w:r>
    </w:p>
    <w:p>
      <w:pPr>
        <w:pStyle w:val="Heading2"/>
      </w:pPr>
      <w:r>
        <w:t>Purpose</w:t>
      </w:r>
    </w:p>
    <w:p>
      <w:pPr>
        <w:spacing w:after="120"/>
      </w:pPr>
      <w:r>
        <w:t>Establish a practical governance framework for AI providers, hosted models, agents, plugins, connectors, MCP servers, data suppliers, subprocessors and other AI supply-chain dependencies across selection, contracting, onboarding, operation, change, incident response and exit. Legal requirements, contractual obligations, supervisory expectations, voluntary frameworks and community guidance must remain explicitly distinguished.</w:t>
      </w:r>
    </w:p>
    <w:p>
      <w:pPr>
        <w:pStyle w:val="Heading2"/>
      </w:pPr>
      <w:r>
        <w:t>TP-01 — Provider inventory and materiality</w:t>
      </w:r>
    </w:p>
    <w:p>
      <w:pPr>
        <w:spacing w:after="120"/>
      </w:pPr>
      <w:r>
        <w:t>Maintain a complete inventory of providers, services, models, APIs, agents, plugins, data sources, hosting dependencies and fourth parties. Classify by criticality, autonomy, data sensitivity, consequence, concentration risk, substitutability and regulatory exposure.</w:t>
      </w:r>
    </w:p>
    <w:p>
      <w:pPr>
        <w:pStyle w:val="Heading2"/>
      </w:pPr>
      <w:r>
        <w:t>TP-02 — Pre-contract due diligence</w:t>
      </w:r>
    </w:p>
    <w:p>
      <w:pPr>
        <w:spacing w:after="120"/>
      </w:pPr>
      <w:r>
        <w:t>Assess ownership, financial viability, security, privacy, AI governance, incident history, documentation, hosting, subcontractors, continuity and evidence availability before approval.</w:t>
      </w:r>
    </w:p>
    <w:p>
      <w:pPr>
        <w:pStyle w:val="Heading2"/>
      </w:pPr>
      <w:r>
        <w:t>TP-03 — Security and technical assurance</w:t>
      </w:r>
    </w:p>
    <w:p>
      <w:pPr>
        <w:spacing w:after="120"/>
      </w:pPr>
      <w:r>
        <w:t>Evaluate access control, tenant isolation, encryption, vulnerability management, secure development, model/API abuse controls, logging, monitoring, incident response and independent assurance evidence proportionate to risk.</w:t>
      </w:r>
    </w:p>
    <w:p>
      <w:pPr>
        <w:pStyle w:val="Heading2"/>
      </w:pPr>
      <w:r>
        <w:t>TP-04 — Privacy and data-use restrictions</w:t>
      </w:r>
    </w:p>
    <w:p>
      <w:pPr>
        <w:spacing w:after="120"/>
      </w:pPr>
      <w:r>
        <w:t>Document permitted data uses, training/fine-tuning use, retention, deletion, secondary use, cross-border processing, sensitive-data restrictions, subprocessors and deletion/return evidence at exit.</w:t>
      </w:r>
    </w:p>
    <w:p>
      <w:pPr>
        <w:pStyle w:val="Heading2"/>
      </w:pPr>
      <w:r>
        <w:t>TP-05 — Model, version and change transparency</w:t>
      </w:r>
    </w:p>
    <w:p>
      <w:pPr>
        <w:spacing w:after="120"/>
      </w:pPr>
      <w:r>
        <w:t>Require identification of material model/service versions, architecture changes, deprecations, behavior changes, safety-control changes and notification mechanisms sufficient to trigger internal revalidation.</w:t>
      </w:r>
    </w:p>
    <w:p>
      <w:pPr>
        <w:pStyle w:val="Heading2"/>
      </w:pPr>
      <w:r>
        <w:t>TP-06 — Subprocessors and fourth parties</w:t>
      </w:r>
    </w:p>
    <w:p>
      <w:pPr>
        <w:spacing w:after="120"/>
      </w:pPr>
      <w:r>
        <w:t>Identify material fourth parties and dependencies. Establish risk-based visibility, approval, notification, flow-down obligations and exit/continuity controls.</w:t>
      </w:r>
    </w:p>
    <w:p>
      <w:pPr>
        <w:pStyle w:val="Heading2"/>
      </w:pPr>
      <w:r>
        <w:t>TP-07 — Hosting, residency and transfer architecture</w:t>
      </w:r>
    </w:p>
    <w:p>
      <w:pPr>
        <w:spacing w:after="120"/>
      </w:pPr>
      <w:r>
        <w:t>Map hosting regions, data locations, control planes, backups, failover and transfer mechanisms. Validate residency commitments against technical and contractual evidence.</w:t>
      </w:r>
    </w:p>
    <w:p>
      <w:pPr>
        <w:pStyle w:val="Heading2"/>
      </w:pPr>
      <w:r>
        <w:t>TP-08 — Identity, authorization and delegated action</w:t>
      </w:r>
    </w:p>
    <w:p>
      <w:pPr>
        <w:spacing w:after="120"/>
      </w:pPr>
      <w:r>
        <w:t>For agents, plugins, connectors and MCP/tool providers, validate identity, authorization scope, least privilege, delegated authority, transaction limits, revocation and attributable action logging.</w:t>
      </w:r>
    </w:p>
    <w:p>
      <w:pPr>
        <w:pStyle w:val="Heading2"/>
      </w:pPr>
      <w:r>
        <w:t>TP-09 — AI supply-chain integrity</w:t>
      </w:r>
    </w:p>
    <w:p>
      <w:pPr>
        <w:spacing w:after="120"/>
      </w:pPr>
      <w:r>
        <w:t>Assess model provenance, package/dependency integrity, artifacts, images, containers, libraries, model files, adapters, datasets, prompts, plugins and update channels. Require controls against substitution, tampering, poisoning and unauthorized change.</w:t>
      </w:r>
    </w:p>
    <w:p>
      <w:pPr>
        <w:pStyle w:val="Heading2"/>
      </w:pPr>
      <w:r>
        <w:t>TP-10 — Contractual control and evidence rights</w:t>
      </w:r>
    </w:p>
    <w:p>
      <w:pPr>
        <w:spacing w:after="120"/>
      </w:pPr>
      <w:r>
        <w:t>Establish clauses for security, privacy, AI-use restrictions, audit/evidence access, incident notification, material change, subcontractors, continuity, termination, data return/deletion, cooperation and regulatory support where applicable.</w:t>
      </w:r>
    </w:p>
    <w:p>
      <w:pPr>
        <w:pStyle w:val="Heading2"/>
      </w:pPr>
      <w:r>
        <w:t>TP-11 — Performance and safety claims</w:t>
      </w:r>
    </w:p>
    <w:p>
      <w:pPr>
        <w:spacing w:after="120"/>
      </w:pPr>
      <w:r>
        <w:t>Challenge material provider claims regarding accuracy, robustness, safety, fairness, privacy, security, certifications and benchmarks. Distinguish independently verified evidence from supplier assertions.</w:t>
      </w:r>
    </w:p>
    <w:p>
      <w:pPr>
        <w:pStyle w:val="Heading2"/>
      </w:pPr>
      <w:r>
        <w:t>TP-12 — Change and revalidation</w:t>
      </w:r>
    </w:p>
    <w:p>
      <w:pPr>
        <w:spacing w:after="120"/>
      </w:pPr>
      <w:r>
        <w:t>Define reassessment triggers: model/version change, new subprocessor, hosting change, control failure, security incident, data-use change, ownership change, financial distress, benchmark regression or new applicable requirement.</w:t>
      </w:r>
    </w:p>
    <w:p>
      <w:pPr>
        <w:pStyle w:val="Heading2"/>
      </w:pPr>
      <w:r>
        <w:t>TP-13 — Incident and breach coordination</w:t>
      </w:r>
    </w:p>
    <w:p>
      <w:pPr>
        <w:spacing w:after="120"/>
      </w:pPr>
      <w:r>
        <w:t>Define notification windows, evidence-sharing, containment roles, communications, forensic cooperation, regulatory support and corrective actions.</w:t>
      </w:r>
    </w:p>
    <w:p>
      <w:pPr>
        <w:pStyle w:val="Heading2"/>
      </w:pPr>
      <w:r>
        <w:t>TP-14 — Concentration and systemic dependency risk</w:t>
      </w:r>
    </w:p>
    <w:p>
      <w:pPr>
        <w:spacing w:after="120"/>
      </w:pPr>
      <w:r>
        <w:t>Assess single-provider concentration, common cloud/foundation-model dependencies, shared libraries, common data providers, regional concentration and correlated failure scenarios.</w:t>
      </w:r>
    </w:p>
    <w:p>
      <w:pPr>
        <w:pStyle w:val="Heading2"/>
      </w:pPr>
      <w:r>
        <w:t>TP-15 — Continuity, portability and exit</w:t>
      </w:r>
    </w:p>
    <w:p>
      <w:pPr>
        <w:spacing w:after="120"/>
      </w:pPr>
      <w:r>
        <w:t>Validate backup/restore, alternate providers, data/model portability, export formats, migration, credential revocation, data deletion and residual dependency removal.</w:t>
      </w:r>
    </w:p>
    <w:p>
      <w:pPr>
        <w:pStyle w:val="Heading2"/>
      </w:pPr>
      <w:r>
        <w:t>TP-16 — Ongoing monitoring</w:t>
      </w:r>
    </w:p>
    <w:p>
      <w:pPr>
        <w:spacing w:after="120"/>
      </w:pPr>
      <w:r>
        <w:t>Monitor provider risk signals, service changes, advisories, regulatory actions, version changes, SLA degradation, incidents, evidence expirations and unresolved findings.</w:t>
      </w:r>
    </w:p>
    <w:p>
      <w:pPr>
        <w:pStyle w:val="Heading2"/>
      </w:pPr>
      <w:r>
        <w:t>TP-17 — Exceptions and residual risk</w:t>
      </w:r>
    </w:p>
    <w:p>
      <w:pPr>
        <w:spacing w:after="120"/>
      </w:pPr>
      <w:r>
        <w:t>Record approved deviations, rationale, compensating controls, accountable owner, expiration, review triggers and closure evidence.</w:t>
      </w:r>
    </w:p>
    <w:p>
      <w:pPr>
        <w:pStyle w:val="Heading2"/>
      </w:pPr>
      <w:r>
        <w:t>TP-18 — Post-exit assurance</w:t>
      </w:r>
    </w:p>
    <w:p>
      <w:pPr>
        <w:spacing w:after="120"/>
      </w:pPr>
      <w:r>
        <w:t>Confirm access removal, credential revocation, data return/deletion, model or adapter disposal where applicable, subprocessor termination effects, retention exceptions and evidence preservation.</w:t>
      </w:r>
    </w:p>
    <w:p>
      <w:pPr>
        <w:pStyle w:val="Heading2"/>
      </w:pPr>
      <w:r>
        <w:t>Required evidence</w:t>
      </w:r>
    </w:p>
    <w:p>
      <w:pPr>
        <w:spacing w:after="120"/>
      </w:pPr>
      <w:r>
        <w:t>EV-01 inventory/materiality; EV-02 due diligence; EV-03 security/privacy evidence; EV-04 architecture/data flow; EV-05 fourth-party register; EV-06 model/version/change register; EV-07 contract clause matrix; EV-08 provider-claims challenge; EV-09 incident playbook; EV-10 continuity/exit test; EV-11 concentration assessment; EV-12 monitoring log; EV-13 exception record; EV-14 termination/deletion evidence.</w:t>
      </w:r>
    </w:p>
    <w:p>
      <w:pPr>
        <w:pStyle w:val="Heading2"/>
      </w:pPr>
      <w:r>
        <w:t>Scenario pack</w:t>
      </w:r>
    </w:p>
    <w:p>
      <w:pPr>
        <w:pStyle w:val="ListNumber"/>
      </w:pPr>
      <w:r>
        <w:t>Silent hosted-model behavior change. 2. New-region subprocessor. 3. Terms permit customer-data model improvement. 4. Plugin gains permissions. 5. Common dependency compromise. 6. Unsupported safety/security claim. 7. Critical outage without migration path. 8. Coordinated incident containment. 9. Exit with incomplete deletion evidence. 10. Multiple critical services depend on one foundation-model/cloud provider.</w:t>
      </w:r>
    </w:p>
    <w:p>
      <w:pPr>
        <w:pStyle w:val="Heading2"/>
      </w:pPr>
      <w:r>
        <w:t>Release rule</w:t>
      </w:r>
    </w:p>
    <w:p>
      <w:pPr>
        <w:spacing w:after="120"/>
      </w:pPr>
      <w:r>
        <w:t>Supplier claims are not independently verified evidence unless substantiated. Publication remains fail-closed on substantive source, localization, artifact, provenance, visible-text/render and retained QA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