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51 — Gobernanza, seguridad y responsabilidad humana para IA agéntica</w:t>
      </w:r>
    </w:p>
    <w:p>
      <w:pPr>
        <w:spacing w:after="120"/>
      </w:pPr>
      <w:r>
        <w:t>Fuente controlada de publicación</w:t>
      </w:r>
    </w:p>
    <w:p>
      <w:pPr>
        <w:spacing w:after="120"/>
      </w:pPr>
      <w:r>
        <w:t>Línea base de vigencia: 1 de septiembre de 2026</w:t>
      </w:r>
    </w:p>
    <w:p>
      <w:pPr>
        <w:spacing w:after="120"/>
      </w:pPr>
      <w:r>
        <w:t>Regla de estado normativo: IMDA, NIST y OWASP se utilizan según su estado real; este manual no convierte orientación voluntaria, borradores, documentos conceptuales ni guías comunitarias en ley o certificación.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establece un modelo práctico de gobernanza y seguridad para agentes de IA capaces de planificar, invocar herramientas, acceder a datos empresariales, mantener memoria, delegar en otros agentes y ejecutar acciones con consecuencias. El principio rector es gobernar la IA agéntica por las consecuencias de sus acciones, no solo por la calidad del texto generado.</w:t>
      </w:r>
    </w:p>
    <w:p>
      <w:pPr>
        <w:pStyle w:val="Heading2"/>
      </w:pPr>
      <w:r>
        <w:t>Línea base de fuentes</w:t>
      </w:r>
    </w:p>
    <w:p>
      <w:pPr>
        <w:pStyle w:val="ListBullet"/>
      </w:pPr>
      <w:r>
        <w:t>El Model AI Governance Framework for Agentic AI v1.0 de IMDA, publicado el 22 de enero de 2026, se trata como orientación gubernamental para facilitar la responsabilidad humana.</w:t>
      </w:r>
    </w:p>
    <w:p>
      <w:pPr>
        <w:pStyle w:val="ListBullet"/>
      </w:pPr>
      <w:r>
        <w:t>NIST AI RMF 1.0 y NIST AI 600-1 continúan como orientación voluntaria de gestión de riesgos.</w:t>
      </w:r>
    </w:p>
    <w:p>
      <w:pPr>
        <w:pStyle w:val="ListBullet"/>
      </w:pPr>
      <w:r>
        <w:t>El documento conceptual de NIST de febrero de 2026 sobre identidad y autorización de agentes de software e IA sigue siendo conceptual, no un estándar obligatorio final.</w:t>
      </w:r>
    </w:p>
    <w:p>
      <w:pPr>
        <w:pStyle w:val="ListBullet"/>
      </w:pPr>
      <w:r>
        <w:t>La actualización pública de NIST de agosto de 2026 refuerza la importancia de identidades atribuibles, mínimo privilegio y autorización sólida.</w:t>
      </w:r>
    </w:p>
    <w:p>
      <w:pPr>
        <w:pStyle w:val="ListBullet"/>
      </w:pPr>
      <w:r>
        <w:t>OWASP Top 10 for Agentic Applications 2026 y State of Agentic AI Security and Governance 2.01 se tratan como orientación comunitaria de seguridad.</w:t>
      </w:r>
    </w:p>
    <w:p>
      <w:pPr>
        <w:pStyle w:val="Heading2"/>
      </w:pPr>
      <w:r>
        <w:t>Arquitectura de controles agénticos</w:t>
      </w:r>
    </w:p>
    <w:p>
      <w:pPr>
        <w:pStyle w:val="Heading3"/>
      </w:pPr>
      <w:r>
        <w:t>AG-01 Identidad del agente</w:t>
      </w:r>
    </w:p>
    <w:p>
      <w:pPr>
        <w:spacing w:after="120"/>
      </w:pPr>
      <w:r>
        <w:t>Todo agente de producción con acceso a recursos empresariales debe tener identidad atribuible, propietario responsable, propósito y entorno registrados.</w:t>
      </w:r>
    </w:p>
    <w:p>
      <w:pPr>
        <w:pStyle w:val="Heading3"/>
      </w:pPr>
      <w:r>
        <w:t>AG-02 Autenticación y credenciales</w:t>
      </w:r>
    </w:p>
    <w:p>
      <w:pPr>
        <w:spacing w:after="120"/>
      </w:pPr>
      <w:r>
        <w:t>Los agentes usan credenciales controladas; se evitan cuentas humanas compartidas, secretos incrustados y tokens de larga duración sin control compensatorio.</w:t>
      </w:r>
    </w:p>
    <w:p>
      <w:pPr>
        <w:pStyle w:val="Heading3"/>
      </w:pPr>
      <w:r>
        <w:t>AG-03 Autorización y mínimo privilegio</w:t>
      </w:r>
    </w:p>
    <w:p>
      <w:pPr>
        <w:spacing w:after="120"/>
      </w:pPr>
      <w:r>
        <w:t>Conceder solo herramientas, datos y acciones necesarias. La autorización debe aplicarse técnicamente y no depender únicamente de instrucciones en prompts.</w:t>
      </w:r>
    </w:p>
    <w:p>
      <w:pPr>
        <w:pStyle w:val="Heading3"/>
      </w:pPr>
      <w:r>
        <w:t>AG-04 Límites de capacidad y autonomía</w:t>
      </w:r>
    </w:p>
    <w:p>
      <w:pPr>
        <w:spacing w:after="120"/>
      </w:pPr>
      <w:r>
        <w:t>Documentar objetivos permitidos, acciones, herramientas, dominios de datos, límites transaccionales, comunicación externa, ejecución de código y actividades prohibidas.</w:t>
      </w:r>
    </w:p>
    <w:p>
      <w:pPr>
        <w:pStyle w:val="Heading3"/>
      </w:pPr>
      <w:r>
        <w:t>AG-05 Puntos humanos significativos</w:t>
      </w:r>
    </w:p>
    <w:p>
      <w:pPr>
        <w:spacing w:after="120"/>
      </w:pPr>
      <w:r>
        <w:t>Definir aprobación humana antes de acciones legales, financieras, de seguridad, empleo, control de acceso, comunicación externa o acciones irreversibles. El aprobador debe poder rechazar y el sistema debe impedir la ejecución tras el rechazo.</w:t>
      </w:r>
    </w:p>
    <w:p>
      <w:pPr>
        <w:pStyle w:val="Heading3"/>
      </w:pPr>
      <w:r>
        <w:t>AG-06 Límites de confianza de herramientas, MCP y API</w:t>
      </w:r>
    </w:p>
    <w:p>
      <w:pPr>
        <w:spacing w:after="120"/>
      </w:pPr>
      <w:r>
        <w:t>Tratar herramientas, servidores MCP, APIs, plugins y conectores como fronteras de seguridad con inventario, clasificación de confianza, validación de esquema, alcances y listas permitidas.</w:t>
      </w:r>
    </w:p>
    <w:p>
      <w:pPr>
        <w:pStyle w:val="Heading3"/>
      </w:pPr>
      <w:r>
        <w:t>AG-07 Límites de datos y memoria</w:t>
      </w:r>
    </w:p>
    <w:p>
      <w:pPr>
        <w:spacing w:after="120"/>
      </w:pPr>
      <w:r>
        <w:t>Controlar lectura, retención, recuperación, escritura y divulgación en memoria de sesión, memoria persistente, RAG y servicios externos.</w:t>
      </w:r>
    </w:p>
    <w:p>
      <w:pPr>
        <w:pStyle w:val="Heading3"/>
      </w:pPr>
      <w:r>
        <w:t>AG-08 Integridad de instrucciones y prompts</w:t>
      </w:r>
    </w:p>
    <w:p>
      <w:pPr>
        <w:spacing w:after="120"/>
      </w:pPr>
      <w:r>
        <w:t>Separar instrucciones confiables del contenido no confiable, mitigar prompt injection indirecto y validar argumentos antes de ejecutar herramientas.</w:t>
      </w:r>
    </w:p>
    <w:p>
      <w:pPr>
        <w:pStyle w:val="Heading3"/>
      </w:pPr>
      <w:r>
        <w:t>AG-09 Procedencia de acciones</w:t>
      </w:r>
    </w:p>
    <w:p>
      <w:pPr>
        <w:spacing w:after="120"/>
      </w:pPr>
      <w:r>
        <w:t>Toda acción material debe poder reconstruirse: solicitante/contexto, identidad y versión del agente, decisión de política, herramienta, aprobación o rechazo, resultado y efecto posterior.</w:t>
      </w:r>
    </w:p>
    <w:p>
      <w:pPr>
        <w:pStyle w:val="Heading3"/>
      </w:pPr>
      <w:r>
        <w:t>AG-10 Delegación multiagente</w:t>
      </w:r>
    </w:p>
    <w:p>
      <w:pPr>
        <w:spacing w:after="120"/>
      </w:pPr>
      <w:r>
        <w:t>Definir qué agentes pueden delegar, qué autoridad se transfiere y cómo se limitan memoria, credenciales y herramientas para evitar amplificación de privilegios.</w:t>
      </w:r>
    </w:p>
    <w:p>
      <w:pPr>
        <w:pStyle w:val="Heading3"/>
      </w:pPr>
      <w:r>
        <w:t>AG-11 Terceros y proveedores</w:t>
      </w:r>
    </w:p>
    <w:p>
      <w:pPr>
        <w:spacing w:after="120"/>
      </w:pPr>
      <w:r>
        <w:t>Evaluar modelos, agentes, plugins y herramientas externos respecto de datos, permisos, cambios, incidentes, continuidad, concentración y salida.</w:t>
      </w:r>
    </w:p>
    <w:p>
      <w:pPr>
        <w:pStyle w:val="Heading3"/>
      </w:pPr>
      <w:r>
        <w:t>AG-12 Monitoreo y anomalías</w:t>
      </w:r>
    </w:p>
    <w:p>
      <w:pPr>
        <w:spacing w:after="120"/>
      </w:pPr>
      <w:r>
        <w:t>Monitorear uso inusual de herramientas, cambios de privilegio, velocidad de acciones, rechazos de política, delegación inesperada, acceso sensible y efectos anómalos.</w:t>
      </w:r>
    </w:p>
    <w:p>
      <w:pPr>
        <w:pStyle w:val="Heading3"/>
      </w:pPr>
      <w:r>
        <w:t>AG-13 Contención y capacidad de detención</w:t>
      </w:r>
    </w:p>
    <w:p>
      <w:pPr>
        <w:spacing w:after="120"/>
      </w:pPr>
      <w:r>
        <w:t>Proveer y probar mecanismos para detener al agente, revocar credenciales, deshabilitar herramientas, aislar entornos y prevenir nuevas acciones dañinas.</w:t>
      </w:r>
    </w:p>
    <w:p>
      <w:pPr>
        <w:pStyle w:val="Heading3"/>
      </w:pPr>
      <w:r>
        <w:t>AG-14 Respuesta a incidentes</w:t>
      </w:r>
    </w:p>
    <w:p>
      <w:pPr>
        <w:spacing w:after="120"/>
      </w:pPr>
      <w:r>
        <w:t>Integrar incidentes agénticos al proceso empresarial, preservando instrucciones, identidades, trazas, llamadas a herramientas, aprobaciones, versiones y políticas.</w:t>
      </w:r>
    </w:p>
    <w:p>
      <w:pPr>
        <w:pStyle w:val="Heading3"/>
      </w:pPr>
      <w:r>
        <w:t>AG-15 Cambios y revalidación</w:t>
      </w:r>
    </w:p>
    <w:p>
      <w:pPr>
        <w:spacing w:after="120"/>
      </w:pPr>
      <w:r>
        <w:t>Cambios materiales de modelo, instrucciones, herramientas, permisos, autonomía, proveedor, datos, RAG, memoria, geografía o propósito requieren reevaluación y revalidación proporcional.</w:t>
      </w:r>
    </w:p>
    <w:p>
      <w:pPr>
        <w:pStyle w:val="Heading3"/>
      </w:pPr>
      <w:r>
        <w:t>AG-16 Pruebas y evaluación adversarial</w:t>
      </w:r>
    </w:p>
    <w:p>
      <w:pPr>
        <w:spacing w:after="120"/>
      </w:pPr>
      <w:r>
        <w:t>Probar uso no autorizado de herramientas, prompt injection, escalamiento de privilegios, manipulación entre agentes, fuga de datos, autonomía insegura, herramientas falsas, memoria contaminada y respuesta de contención.</w:t>
      </w:r>
    </w:p>
    <w:p>
      <w:pPr>
        <w:pStyle w:val="Heading3"/>
      </w:pPr>
      <w:r>
        <w:t>AG-17 Competencia humana y sesgo de automatización</w:t>
      </w:r>
    </w:p>
    <w:p>
      <w:pPr>
        <w:spacing w:after="120"/>
      </w:pPr>
      <w:r>
        <w:t>Las personas supervisoras deben comprender límites, evidencia y rutas de escalamiento y conservar criterio independiente cuando existe responsabilidad humana.</w:t>
      </w:r>
    </w:p>
    <w:p>
      <w:pPr>
        <w:pStyle w:val="Heading3"/>
      </w:pPr>
      <w:r>
        <w:t>AG-18 Transparencia al usuario</w:t>
      </w:r>
    </w:p>
    <w:p>
      <w:pPr>
        <w:spacing w:after="120"/>
      </w:pPr>
      <w:r>
        <w:t>Cuando corresponda, informar que existe interacción con un agente, su función, límites, acciones posibles y canales para impugnar o escalar problemas.</w:t>
      </w:r>
    </w:p>
    <w:p>
      <w:pPr>
        <w:pStyle w:val="Heading3"/>
      </w:pPr>
      <w:r>
        <w:t>AG-19 Gobernanza y aceptación de riesgo</w:t>
      </w:r>
    </w:p>
    <w:p>
      <w:pPr>
        <w:spacing w:after="120"/>
      </w:pPr>
      <w:r>
        <w:t>Desplegar, restringir, suspender o retirar capacidades agénticas según riesgo documentado, pruebas, riesgo residual y aprobación responsable.</w:t>
      </w:r>
    </w:p>
    <w:p>
      <w:pPr>
        <w:pStyle w:val="Heading3"/>
      </w:pPr>
      <w:r>
        <w:t>AG-20 Auditabilidad y aseguramiento continuo</w:t>
      </w:r>
    </w:p>
    <w:p>
      <w:pPr>
        <w:spacing w:after="120"/>
      </w:pPr>
      <w:r>
        <w:t>Conservar evidencia suficiente para comprobar periódicamente la efectividad de controles a medida que evolucionan modelos, herramientas, permisos y dependencias.</w:t>
      </w:r>
    </w:p>
    <w:p>
      <w:pPr>
        <w:pStyle w:val="Heading2"/>
      </w:pPr>
      <w:r>
        <w:t>Clases de autonomía</w:t>
      </w:r>
    </w:p>
    <w:p>
      <w:pPr>
        <w:pStyle w:val="ListBullet"/>
      </w:pPr>
      <w:r>
        <w:t>**Clase A — solo observación:** recomendaciones sin efecto externo.</w:t>
      </w:r>
    </w:p>
    <w:p>
      <w:pPr>
        <w:pStyle w:val="ListBullet"/>
      </w:pPr>
      <w:r>
        <w:t>**Clase B — acción reversible y acotada:** autonomía dentro de límites técnicos y monitoreo continuo.</w:t>
      </w:r>
    </w:p>
    <w:p>
      <w:pPr>
        <w:pStyle w:val="ListBullet"/>
      </w:pPr>
      <w:r>
        <w:t>**Clase C — acción material:** aprobación humana antes de ejecutar, salvo política de emergencia documentada.</w:t>
      </w:r>
    </w:p>
    <w:p>
      <w:pPr>
        <w:pStyle w:val="ListBullet"/>
      </w:pPr>
      <w:r>
        <w:t>**Clase D — acción irreversible o de alto impacto:** doble control o aprobación responsable designada, con evidencia reforzada.</w:t>
      </w:r>
    </w:p>
    <w:p>
      <w:pPr>
        <w:pStyle w:val="Heading2"/>
      </w:pPr>
      <w:r>
        <w:t>Modelo de evidencia</w:t>
      </w:r>
    </w:p>
    <w:p>
      <w:pPr>
        <w:spacing w:after="120"/>
      </w:pPr>
      <w:r>
        <w:t>La evidencia mínima incluye inventario del agente; especificación de límites de acción; diseño de identidad y autorización; lista permitida de herramientas y datos; matriz de responsabilidad humana; procedencia de acciones; evaluación de seguridad; cambio/revalidación; monitoreo; prueba de contención; incidente; evaluación de terceros; excepciones y aseguramiento independiente.</w:t>
      </w:r>
    </w:p>
    <w:p>
      <w:pPr>
        <w:spacing w:after="120"/>
      </w:pPr>
      <w:r>
        <w:t>Cadena mínima para acciones con consecuencias:</w:t>
      </w:r>
    </w:p>
    <w:p>
      <w:pPr>
        <w:spacing w:after="120"/>
      </w:pPr>
      <w:r>
        <w:t>solicitante/contexto → identidad/versión del agente → evaluación de autorización/política → herramienta/acción solicitada → aprobación o rechazo → resultado de ejecución → efecto posterior → monitoreo o incidente</w:t>
      </w:r>
    </w:p>
    <w:p>
      <w:pPr>
        <w:pStyle w:val="Heading2"/>
      </w:pPr>
      <w:r>
        <w:t>Escenarios prácticos</w:t>
      </w:r>
    </w:p>
    <w:p>
      <w:pPr>
        <w:pStyle w:val="Heading3"/>
      </w:pPr>
      <w:r>
        <w:t>Agente de compras</w:t>
      </w:r>
    </w:p>
    <w:p>
      <w:pPr>
        <w:spacing w:after="120"/>
      </w:pPr>
      <w:r>
        <w:t>Puede consultar proveedores aprobados y preparar solicitudes, pero la ejecución se limita por alcance. Umbrales de valor y proveedores no aprobados requieren autorización humana o rechazo técnico.</w:t>
      </w:r>
    </w:p>
    <w:p>
      <w:pPr>
        <w:pStyle w:val="Heading3"/>
      </w:pPr>
      <w:r>
        <w:t>Cadena multiagente de publicación</w:t>
      </w:r>
    </w:p>
    <w:p>
      <w:pPr>
        <w:spacing w:after="120"/>
      </w:pPr>
      <w:r>
        <w:t>Separar investigación, resumen, redacción y publicación. Cada delegación debe ser atribuible y la publicación externa debe estar detrás de una frontera controlada.</w:t>
      </w:r>
    </w:p>
    <w:p>
      <w:pPr>
        <w:pStyle w:val="Heading3"/>
      </w:pPr>
      <w:r>
        <w:t>Cambio de herramienta de tercero</w:t>
      </w:r>
    </w:p>
    <w:p>
      <w:pPr>
        <w:spacing w:after="120"/>
      </w:pPr>
      <w:r>
        <w:t>Cambios de versión disparan revisión de esquema, reevaluación del proveedor, regresión y revalidación antes de aceptar permisos o salidas ampliadas.</w:t>
      </w:r>
    </w:p>
    <w:p>
      <w:pPr>
        <w:pStyle w:val="Heading3"/>
      </w:pPr>
      <w:r>
        <w:t>Exportación prohibida de datos</w:t>
      </w:r>
    </w:p>
    <w:p>
      <w:pPr>
        <w:spacing w:after="120"/>
      </w:pPr>
      <w:r>
        <w:t>Una solicitud de enviar datos restringidos a un destino no aprobado debe bloquearse antes de la herramienta y conservar identidad, regla, clasificación, destino y resultado de investigación.</w:t>
      </w:r>
    </w:p>
    <w:p>
      <w:pPr>
        <w:pStyle w:val="Heading3"/>
      </w:pPr>
      <w:r>
        <w:t>Remediación autónoma de seguridad</w:t>
      </w:r>
    </w:p>
    <w:p>
      <w:pPr>
        <w:spacing w:after="120"/>
      </w:pPr>
      <w:r>
        <w:t>Observar puede ser autónomo; contención reversible puede ser acotada; revocaciones o aislamiento de alto impacto requieren aprobación más fuerte según impacto y política de emergencia.</w:t>
      </w:r>
    </w:p>
    <w:p>
      <w:pPr>
        <w:pStyle w:val="Heading3"/>
      </w:pPr>
      <w:r>
        <w:t>Deriva de privilegios</w:t>
      </w:r>
    </w:p>
    <w:p>
      <w:pPr>
        <w:spacing w:after="120"/>
      </w:pPr>
      <w:r>
        <w:t>Los cambios acumulativos de permisos se revisan como un delta consolidado. Combinaciones tóxicas y nueva autoridad de delegación disparan revalidación.</w:t>
      </w:r>
    </w:p>
    <w:p>
      <w:pPr>
        <w:pStyle w:val="Heading2"/>
      </w:pPr>
      <w:r>
        <w:t>Regla de responsabilidad humana</w:t>
      </w:r>
    </w:p>
    <w:p>
      <w:pPr>
        <w:spacing w:after="120"/>
      </w:pPr>
      <w:r>
        <w:t>La supervisión no se satisface por incluir una persona nominalmente. El punto de control es efectivo solo cuando la persona es identificable, competente, informada, autorizada para rechazar, dispone de contexto suficiente y puede detener técnicamente la acción antes del efecto relevante.</w:t>
      </w:r>
    </w:p>
    <w:p>
      <w:pPr>
        <w:pStyle w:val="Heading2"/>
      </w:pPr>
      <w:r>
        <w:t>Uso entre marcos</w:t>
      </w:r>
    </w:p>
    <w:p>
      <w:pPr>
        <w:spacing w:after="120"/>
      </w:pPr>
      <w:r>
        <w:t>IMDA aporta orientación de gobernanza; NIST aporta gestión de riesgo y consideraciones emergentes de identidad/autorización; OWASP aporta amenazas y mitigaciones prácticas. Pueden apoyar un mismo control empresarial sin ser equivalentes. Ningún mapeo puede afirmar que adoptar una fuente demuestra cumplimiento de otra.</w:t>
      </w:r>
    </w:p>
    <w:p>
      <w:pPr>
        <w:pStyle w:val="Heading2"/>
      </w:pPr>
      <w:r>
        <w:t>Puerta de despliegue</w:t>
      </w:r>
    </w:p>
    <w:p>
      <w:pPr>
        <w:spacing w:after="120"/>
      </w:pPr>
      <w:r>
        <w:t>Antes de producción confirmar: propósito y propietario; inventario; clase de autonomía; identidad; mínimo privilegio; límites de herramientas y datos; puntos humanos; procedencia; pruebas adversariales; prueba de contención; revisión de terceros; monitoreo; respuesta a incidentes; disparadores de revalidación; decisión de riesgo residual; y retención de evidencia.</w:t>
      </w:r>
    </w:p>
    <w:p>
      <w:pPr>
        <w:pStyle w:val="Heading2"/>
      </w:pPr>
      <w:r>
        <w:t>Criterio final de publicación</w:t>
      </w:r>
    </w:p>
    <w:p>
      <w:pPr>
        <w:spacing w:after="120"/>
      </w:pPr>
      <w:r>
        <w:t>El manual está listo cuando AG-01 a AG-20 aparecen en las fuentes controladas trilingües, se generan seis artefactos DOCX/PDF, pasan las pruebas de texto visible y renderizado, se congelan hashes y tamaños exactos, se reconcilian los registros de publicación, la seguridad de workflows permanece limpia, el Manual 50 está publicado y no existe defecto sustantivo o técnico sin resolver.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