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38.png" ContentType="image/png"/>
  <Override PartName="/word/media/rId41.png" ContentType="image/png"/>
  <Override PartName="/word/media/rId50.png" ContentType="image/png"/>
  <Override PartName="/word/media/rId71.png" ContentType="image/png"/>
  <Override PartName="/word/media/rId92.png" ContentType="image/png"/>
  <Override PartName="/word/media/rId9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Start w:id="21" w:name="aviso-educacional-e-legal"/>
    <w:p>
      <w:pPr>
        <w:pStyle w:val="Heading2"/>
      </w:pPr>
      <w:r>
        <w:t xml:space="preserve">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1"/>
    <w:bookmarkStart w:id="22" w:name="uso-ético-e-autorizado"/>
    <w:p>
      <w:pPr>
        <w:pStyle w:val="Heading2"/>
      </w:pPr>
      <w:r>
        <w:t xml:space="preserve">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End w:id="22"/>
    <w:bookmarkStart w:id="23" w:name="X049e5ae9c9241942b4859e04563efe44196f658"/>
    <w:p>
      <w:pPr>
        <w:pStyle w:val="Heading2"/>
      </w:pPr>
      <w:r>
        <w:t xml:space="preserve">*Conteúdo:**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Manual do PCI DSS para gerentes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9"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CaptionedFigure"/>
      </w:pPr>
      <w:r>
        <w:drawing>
          <wp:inline>
            <wp:extent cx="5334000" cy="3418652"/>
            <wp:effectExtent b="0" l="0" r="0" t="0"/>
            <wp:docPr descr="Segurança de pagamento combina rede, sistema, dados, identidade, física, monitoramento, testes e controles de governança."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Segurança de pagamento combina rede, sistema, dados, identidade, física, monitoramento, testes e controles de governança.</w:t>
      </w:r>
    </w:p>
    <w:p>
      <w:pPr>
        <w:pStyle w:val="BodyText"/>
      </w:pPr>
      <w:r>
        <w:t xml:space="preserve">Figura 1. Os doze requisitos PCI DSS</w:t>
      </w:r>
    </w:p>
    <w:bookmarkStart w:id="28"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8"/>
    <w:bookmarkEnd w:id="29"/>
    <w:bookmarkStart w:id="31"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30"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30"/>
    <w:bookmarkEnd w:id="31"/>
    <w:bookmarkStart w:id="37"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CaptionedFigure"/>
      </w:pPr>
      <w:r>
        <w:drawing>
          <wp:inline>
            <wp:extent cx="5334000" cy="2591933"/>
            <wp:effectExtent b="0" l="0" r="0" t="0"/>
            <wp:docPr descr="PAN é central para a aplicabilidade; dados de autenticação sensíveis recebem tratamento pós-autorização mais rigoroso." title="" id="33" name="Picture"/>
            <a:graphic>
              <a:graphicData uri="http://schemas.openxmlformats.org/drawingml/2006/picture">
                <pic:pic>
                  <pic:nvPicPr>
                    <pic:cNvPr descr="media/image2.png" id="34" name="Picture"/>
                    <pic:cNvPicPr>
                      <a:picLocks noChangeArrowheads="1" noChangeAspect="1"/>
                    </pic:cNvPicPr>
                  </pic:nvPicPr>
                  <pic:blipFill>
                    <a:blip r:embed="rId32"/>
                    <a:stretch>
                      <a:fillRect/>
                    </a:stretch>
                  </pic:blipFill>
                  <pic:spPr bwMode="auto">
                    <a:xfrm>
                      <a:off x="0" y="0"/>
                      <a:ext cx="5334000" cy="2591933"/>
                    </a:xfrm>
                    <a:prstGeom prst="rect">
                      <a:avLst/>
                    </a:prstGeom>
                    <a:noFill/>
                    <a:ln w="9525">
                      <a:noFill/>
                      <a:headEnd/>
                      <a:tailEnd/>
                    </a:ln>
                  </pic:spPr>
                </pic:pic>
              </a:graphicData>
            </a:graphic>
          </wp:inline>
        </w:drawing>
      </w:r>
    </w:p>
    <w:p>
      <w:pPr>
        <w:pStyle w:val="ImageCaption"/>
      </w:pPr>
      <w:r>
        <w:t xml:space="preserve">PAN é central para a aplicabilidade; dados de autenticação sensíveis recebem tratamento pós-autorização mais rigoroso.</w:t>
      </w:r>
    </w:p>
    <w:p>
      <w:pPr>
        <w:pStyle w:val="BodyText"/>
      </w:pPr>
      <w:r>
        <w:t xml:space="preserve">Figura 2. Categorias de dados de conta</w:t>
      </w:r>
    </w:p>
    <w:bookmarkStart w:id="35"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35"/>
    <w:bookmarkStart w:id="36"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6"/>
    <w:bookmarkEnd w:id="37"/>
    <w:bookmarkStart w:id="46"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CaptionedFigure"/>
      </w:pPr>
      <w:r>
        <w:drawing>
          <wp:inline>
            <wp:extent cx="5334000" cy="2596069"/>
            <wp:effectExtent b="0" l="0" r="0" t="0"/>
            <wp:docPr descr="Comece com fluxos de dados de conta e inclui sistemas conectados e de impacto de segurança." title="" id="39" name="Picture"/>
            <a:graphic>
              <a:graphicData uri="http://schemas.openxmlformats.org/drawingml/2006/picture">
                <pic:pic>
                  <pic:nvPicPr>
                    <pic:cNvPr descr="media/image3.png" id="40" name="Picture"/>
                    <pic:cNvPicPr>
                      <a:picLocks noChangeArrowheads="1" noChangeAspect="1"/>
                    </pic:cNvPicPr>
                  </pic:nvPicPr>
                  <pic:blipFill>
                    <a:blip r:embed="rId38"/>
                    <a:stretch>
                      <a:fillRect/>
                    </a:stretch>
                  </pic:blipFill>
                  <pic:spPr bwMode="auto">
                    <a:xfrm>
                      <a:off x="0" y="0"/>
                      <a:ext cx="5334000" cy="2596069"/>
                    </a:xfrm>
                    <a:prstGeom prst="rect">
                      <a:avLst/>
                    </a:prstGeom>
                    <a:noFill/>
                    <a:ln w="9525">
                      <a:noFill/>
                      <a:headEnd/>
                      <a:tailEnd/>
                    </a:ln>
                  </pic:spPr>
                </pic:pic>
              </a:graphicData>
            </a:graphic>
          </wp:inline>
        </w:drawing>
      </w:r>
    </w:p>
    <w:p>
      <w:pPr>
        <w:pStyle w:val="ImageCaption"/>
      </w:pPr>
      <w:r>
        <w:t xml:space="preserve">Comece com fluxos de dados de conta e inclui sistemas conectados e de impacto de segurança.</w:t>
      </w:r>
    </w:p>
    <w:p>
      <w:pPr>
        <w:pStyle w:val="BodyText"/>
      </w:pPr>
      <w:r>
        <w:t xml:space="preserve">Figura 3. Fluxo de scoping PCI DSS</w:t>
      </w:r>
    </w:p>
    <w:bookmarkStart w:id="44"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CaptionedFigure"/>
      </w:pPr>
      <w:r>
        <w:drawing>
          <wp:inline>
            <wp:extent cx="5334000" cy="2534065"/>
            <wp:effectExtent b="0" l="0" r="0" t="0"/>
            <wp:docPr descr="A segmentação deve ser executada, monitorada e testada antes que os sistemas sejam tratados como fora de alcance." title="" id="42" name="Picture"/>
            <a:graphic>
              <a:graphicData uri="http://schemas.openxmlformats.org/drawingml/2006/picture">
                <pic:pic>
                  <pic:nvPicPr>
                    <pic:cNvPr descr="media/image4.png" id="43" name="Picture"/>
                    <pic:cNvPicPr>
                      <a:picLocks noChangeArrowheads="1" noChangeAspect="1"/>
                    </pic:cNvPicPr>
                  </pic:nvPicPr>
                  <pic:blipFill>
                    <a:blip r:embed="rId41"/>
                    <a:stretch>
                      <a:fillRect/>
                    </a:stretch>
                  </pic:blipFill>
                  <pic:spPr bwMode="auto">
                    <a:xfrm>
                      <a:off x="0" y="0"/>
                      <a:ext cx="5334000" cy="2534065"/>
                    </a:xfrm>
                    <a:prstGeom prst="rect">
                      <a:avLst/>
                    </a:prstGeom>
                    <a:noFill/>
                    <a:ln w="9525">
                      <a:noFill/>
                      <a:headEnd/>
                      <a:tailEnd/>
                    </a:ln>
                  </pic:spPr>
                </pic:pic>
              </a:graphicData>
            </a:graphic>
          </wp:inline>
        </w:drawing>
      </w:r>
    </w:p>
    <w:p>
      <w:pPr>
        <w:pStyle w:val="ImageCaption"/>
      </w:pPr>
      <w:r>
        <w:t xml:space="preserve">A segmentação deve ser executada, monitorada e testada antes que os sistemas sejam tratados como fora de alcance.</w:t>
      </w:r>
    </w:p>
    <w:p>
      <w:pPr>
        <w:pStyle w:val="BodyText"/>
      </w:pPr>
      <w:r>
        <w:t xml:space="preserve">Figura 4. Segmentação e redução de escopo</w:t>
      </w:r>
    </w:p>
    <w:bookmarkEnd w:id="44"/>
    <w:bookmarkStart w:id="45"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45"/>
    <w:bookmarkEnd w:id="46"/>
    <w:bookmarkStart w:id="49"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47"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47"/>
    <w:bookmarkStart w:id="48"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48"/>
    <w:bookmarkEnd w:id="49"/>
    <w:bookmarkStart w:id="54"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CaptionedFigure"/>
      </w:pPr>
      <w:r>
        <w:drawing>
          <wp:inline>
            <wp:extent cx="5334000" cy="2656837"/>
            <wp:effectExtent b="0" l="0" r="0" t="0"/>
            <wp:docPr descr="Ambos os enfoques devem atender ao objetivo de exigência e ser avaliáveis." title="" id="51" name="Picture"/>
            <a:graphic>
              <a:graphicData uri="http://schemas.openxmlformats.org/drawingml/2006/picture">
                <pic:pic>
                  <pic:nvPicPr>
                    <pic:cNvPr descr="media/image5.png" id="52" name="Picture"/>
                    <pic:cNvPicPr>
                      <a:picLocks noChangeArrowheads="1" noChangeAspect="1"/>
                    </pic:cNvPicPr>
                  </pic:nvPicPr>
                  <pic:blipFill>
                    <a:blip r:embed="rId50"/>
                    <a:stretch>
                      <a:fillRect/>
                    </a:stretch>
                  </pic:blipFill>
                  <pic:spPr bwMode="auto">
                    <a:xfrm>
                      <a:off x="0" y="0"/>
                      <a:ext cx="5334000" cy="2656837"/>
                    </a:xfrm>
                    <a:prstGeom prst="rect">
                      <a:avLst/>
                    </a:prstGeom>
                    <a:noFill/>
                    <a:ln w="9525">
                      <a:noFill/>
                      <a:headEnd/>
                      <a:tailEnd/>
                    </a:ln>
                  </pic:spPr>
                </pic:pic>
              </a:graphicData>
            </a:graphic>
          </wp:inline>
        </w:drawing>
      </w:r>
    </w:p>
    <w:p>
      <w:pPr>
        <w:pStyle w:val="ImageCaption"/>
      </w:pPr>
      <w:r>
        <w:t xml:space="preserve">Ambos os enfoques devem atender ao objetivo de exigência e ser avaliáveis.</w:t>
      </w:r>
    </w:p>
    <w:p>
      <w:pPr>
        <w:pStyle w:val="BodyText"/>
      </w:pPr>
      <w:r>
        <w:t xml:space="preserve">Figura 5. Abordagens definidas e personalizadas</w:t>
      </w:r>
    </w:p>
    <w:bookmarkStart w:id="53"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53"/>
    <w:bookmarkEnd w:id="54"/>
    <w:bookmarkStart w:id="57"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55" w:name="X02c5eb1b10a8520b35c036650a281345511992b"/>
    <w:p>
      <w:pPr>
        <w:pStyle w:val="Heading2"/>
      </w:pPr>
      <w:r>
        <w:t xml:space="preserve">Finalidade do requisito:** Instalar e manter os controles de segurança da rede</w:t>
      </w:r>
    </w:p>
    <w:bookmarkEnd w:id="55"/>
    <w:bookmarkStart w:id="56"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6"/>
    <w:bookmarkEnd w:id="57"/>
    <w:bookmarkStart w:id="60"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58" w:name="Xf4c9a6ffa4c8ddf05f0e86e6e1805e14130104d"/>
    <w:p>
      <w:pPr>
        <w:pStyle w:val="Heading2"/>
      </w:pPr>
      <w:r>
        <w:t xml:space="preserve">** finalidade do requisito:** Aplicar configurações seguras em todos os componentes do sistema</w:t>
      </w:r>
    </w:p>
    <w:bookmarkEnd w:id="58"/>
    <w:bookmarkStart w:id="59"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61" w:name="Xb932c8d60de1de63bb7c26c02064b55e6f552d2"/>
    <w:p>
      <w:pPr>
        <w:pStyle w:val="Heading2"/>
      </w:pPr>
      <w:r>
        <w:rPr>
          <w:bCs/>
          <w:b/>
        </w:rPr>
        <w:t xml:space="preserve">Obrigatório:</w:t>
      </w:r>
      <w:r>
        <w:t xml:space="preserve">Proteger Dados de Conta Armazenados</w:t>
      </w:r>
    </w:p>
    <w:bookmarkEnd w:id="61"/>
    <w:bookmarkStart w:id="62"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63"/>
    <w:bookmarkEnd w:id="64"/>
    <w:bookmarkStart w:id="67"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65"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65"/>
    <w:bookmarkStart w:id="66"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69"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68"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8"/>
    <w:bookmarkEnd w:id="69"/>
    <w:bookmarkStart w:id="75"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70" w:name="X6238a130fedaf60578e2f5d60abbe4471890213"/>
    <w:p>
      <w:pPr>
        <w:pStyle w:val="Heading2"/>
      </w:pPr>
      <w:r>
        <w:rPr>
          <w:bCs/>
          <w:b/>
        </w:rPr>
        <w:t xml:space="preserve">Propósito de exigência:</w:t>
      </w:r>
      <w:r>
        <w:t xml:space="preserve">Desenvolva e mantenha sistemas seguros e software</w:t>
      </w:r>
    </w:p>
    <w:bookmarkEnd w:id="70"/>
    <w:bookmarkStart w:id="74"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645317"/>
            <wp:effectExtent b="0" l="0" r="0" t="0"/>
            <wp:docPr descr="Inventário, autorize, valide, monitore e responda ao script de pagamento-página e mudanças de cabeçalho." title="" id="72" name="Picture"/>
            <a:graphic>
              <a:graphicData uri="http://schemas.openxmlformats.org/drawingml/2006/picture">
                <pic:pic>
                  <pic:nvPicPr>
                    <pic:cNvPr descr="media/image6.png" id="73" name="Picture"/>
                    <pic:cNvPicPr>
                      <a:picLocks noChangeArrowheads="1" noChangeAspect="1"/>
                    </pic:cNvPicPr>
                  </pic:nvPicPr>
                  <pic:blipFill>
                    <a:blip r:embed="rId71"/>
                    <a:stretch>
                      <a:fillRect/>
                    </a:stretch>
                  </pic:blipFill>
                  <pic:spPr bwMode="auto">
                    <a:xfrm>
                      <a:off x="0" y="0"/>
                      <a:ext cx="5334000" cy="2645317"/>
                    </a:xfrm>
                    <a:prstGeom prst="rect">
                      <a:avLst/>
                    </a:prstGeom>
                    <a:noFill/>
                    <a:ln w="9525">
                      <a:noFill/>
                      <a:headEnd/>
                      <a:tailEnd/>
                    </a:ln>
                  </pic:spPr>
                </pic:pic>
              </a:graphicData>
            </a:graphic>
          </wp:inline>
        </w:drawing>
      </w:r>
    </w:p>
    <w:p>
      <w:pPr>
        <w:pStyle w:val="ImageCaption"/>
      </w:pPr>
      <w:r>
        <w:t xml:space="preserve">Inventário, autorize, valide, monitore e responda ao script de pagamento-página e mudanças de cabeçalho.</w:t>
      </w: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74"/>
    <w:bookmarkEnd w:id="75"/>
    <w:bookmarkStart w:id="78"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76" w:name="Xba00c4ea17d252d7c48b0f96a65406c392fc9dc"/>
    <w:p>
      <w:pPr>
        <w:pStyle w:val="Heading2"/>
      </w:pPr>
      <w:r>
        <w:t xml:space="preserve">Finalidade do requisito:** Restrinja o acesso aos componentes do sistema e aos dados do titular do cartão pela necessidade do negócio de saber</w:t>
      </w:r>
    </w:p>
    <w:bookmarkEnd w:id="76"/>
    <w:bookmarkStart w:id="77"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77"/>
    <w:bookmarkEnd w:id="78"/>
    <w:bookmarkStart w:id="82"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79" w:name="Xed08bacf67186036ca0001a4154479c4890ff5b"/>
    <w:p>
      <w:pPr>
        <w:pStyle w:val="Heading2"/>
      </w:pPr>
      <w:r>
        <w:t xml:space="preserve">** finalidade do requisito:** Identificar usuários e Autenticar o acesso aos componentes do sistema</w:t>
      </w:r>
    </w:p>
    <w:bookmarkEnd w:id="79"/>
    <w:bookmarkStart w:id="80"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0"/>
    <w:bookmarkStart w:id="81"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81"/>
    <w:bookmarkEnd w:id="82"/>
    <w:bookmarkStart w:id="85"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83" w:name="Xcf4e9f8f91919d3a083340712498e8c7f53c484"/>
    <w:p>
      <w:pPr>
        <w:pStyle w:val="Heading2"/>
      </w:pPr>
      <w:r>
        <w:rPr>
          <w:bCs/>
          <w:b/>
        </w:rPr>
        <w:t xml:space="preserve">Obrigatório:</w:t>
      </w:r>
      <w:r>
        <w:t xml:space="preserve"> </w:t>
      </w:r>
      <w:r>
        <w:t xml:space="preserve">Restrinja o acesso físico aos dados do titular do cartão</w:t>
      </w:r>
    </w:p>
    <w:bookmarkEnd w:id="83"/>
    <w:bookmarkStart w:id="84"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4"/>
    <w:bookmarkEnd w:id="85"/>
    <w:bookmarkStart w:id="88"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86" w:name="Xb4d63f5a416fb2a9651ec869496d10bd8a40423"/>
    <w:p>
      <w:pPr>
        <w:pStyle w:val="Heading2"/>
      </w:pPr>
      <w:r>
        <w:rPr>
          <w:bCs/>
          <w:b/>
        </w:rPr>
        <w:t xml:space="preserve">Requisito:</w:t>
      </w:r>
      <w:r>
        <w:t xml:space="preserve"> </w:t>
      </w:r>
      <w:r>
        <w:t xml:space="preserve">Log and Monitor All Access to System Components and Cardholder Data</w:t>
      </w:r>
    </w:p>
    <w:bookmarkEnd w:id="86"/>
    <w:bookmarkStart w:id="87"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87"/>
    <w:bookmarkEnd w:id="88"/>
    <w:bookmarkStart w:id="91"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89"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89"/>
    <w:bookmarkStart w:id="90"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90"/>
    <w:bookmarkEnd w:id="91"/>
    <w:bookmarkStart w:id="96"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95"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CaptionedFigure"/>
      </w:pPr>
      <w:r>
        <w:drawing>
          <wp:inline>
            <wp:extent cx="5334000" cy="2343067"/>
            <wp:effectExtent b="0" l="0" r="0" t="0"/>
            <wp:docPr descr="Detect, conter, analisar, notificar, recuperar e melhorar usando responsabilidades e contatos preparados." title="" id="93" name="Picture"/>
            <a:graphic>
              <a:graphicData uri="http://schemas.openxmlformats.org/drawingml/2006/picture">
                <pic:pic>
                  <pic:nvPicPr>
                    <pic:cNvPr descr="media/image7.png" id="94" name="Picture"/>
                    <pic:cNvPicPr>
                      <a:picLocks noChangeArrowheads="1" noChangeAspect="1"/>
                    </pic:cNvPicPr>
                  </pic:nvPicPr>
                  <pic:blipFill>
                    <a:blip r:embed="rId92"/>
                    <a:stretch>
                      <a:fillRect/>
                    </a:stretch>
                  </pic:blipFill>
                  <pic:spPr bwMode="auto">
                    <a:xfrm>
                      <a:off x="0" y="0"/>
                      <a:ext cx="5334000" cy="2343067"/>
                    </a:xfrm>
                    <a:prstGeom prst="rect">
                      <a:avLst/>
                    </a:prstGeom>
                    <a:noFill/>
                    <a:ln w="9525">
                      <a:noFill/>
                      <a:headEnd/>
                      <a:tailEnd/>
                    </a:ln>
                  </pic:spPr>
                </pic:pic>
              </a:graphicData>
            </a:graphic>
          </wp:inline>
        </w:drawing>
      </w:r>
    </w:p>
    <w:p>
      <w:pPr>
        <w:pStyle w:val="ImageCaption"/>
      </w:pPr>
      <w:r>
        <w:t xml:space="preserve">Detect, conter, analisar, notificar, recuperar e melhorar usando responsabilidades e contatos preparados.</w:t>
      </w:r>
    </w:p>
    <w:p>
      <w:pPr>
        <w:pStyle w:val="BodyText"/>
      </w:pPr>
      <w:r>
        <w:t xml:space="preserve">Figura 8. Fluxo de trabalho de resposta incidente de pagamento</w:t>
      </w:r>
    </w:p>
    <w:bookmarkEnd w:id="95"/>
    <w:bookmarkEnd w:id="96"/>
    <w:bookmarkStart w:id="100"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CaptionedFigure"/>
      </w:pPr>
      <w:r>
        <w:drawing>
          <wp:inline>
            <wp:extent cx="5334000" cy="2467446"/>
            <wp:effectExtent b="0" l="0" r="0" t="0"/>
            <wp:docPr descr="Uma conclusão defensável conecta critérios, escopo, projeto de controle, evidência completa, teste, correção e reteste." title="" id="98" name="Picture"/>
            <a:graphic>
              <a:graphicData uri="http://schemas.openxmlformats.org/drawingml/2006/picture">
                <pic:pic>
                  <pic:nvPicPr>
                    <pic:cNvPr descr="media/image8.png" id="99" name="Picture"/>
                    <pic:cNvPicPr>
                      <a:picLocks noChangeArrowheads="1" noChangeAspect="1"/>
                    </pic:cNvPicPr>
                  </pic:nvPicPr>
                  <pic:blipFill>
                    <a:blip r:embed="rId97"/>
                    <a:stretch>
                      <a:fillRect/>
                    </a:stretch>
                  </pic:blipFill>
                  <pic:spPr bwMode="auto">
                    <a:xfrm>
                      <a:off x="0" y="0"/>
                      <a:ext cx="5334000" cy="2467446"/>
                    </a:xfrm>
                    <a:prstGeom prst="rect">
                      <a:avLst/>
                    </a:prstGeom>
                    <a:noFill/>
                    <a:ln w="9525">
                      <a:noFill/>
                      <a:headEnd/>
                      <a:tailEnd/>
                    </a:ln>
                  </pic:spPr>
                </pic:pic>
              </a:graphicData>
            </a:graphic>
          </wp:inline>
        </w:drawing>
      </w:r>
    </w:p>
    <w:p>
      <w:pPr>
        <w:pStyle w:val="ImageCaption"/>
      </w:pPr>
      <w:r>
        <w:t xml:space="preserve">Uma conclusão defensável conecta critérios, escopo, projeto de controle, evidência completa, teste, correção e reteste.</w:t>
      </w: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100"/>
    <w:bookmarkStart w:id="102" w:name="testes-práticos"/>
    <w:p>
      <w:pPr>
        <w:pStyle w:val="Heading1"/>
      </w:pPr>
      <w:r>
        <w:t xml:space="preserve"># 18.1 Testes práticos</w:t>
      </w:r>
    </w:p>
    <w:bookmarkStart w:id="101"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101"/>
    <w:bookmarkEnd w:id="102"/>
    <w:bookmarkStart w:id="105"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103"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103"/>
    <w:bookmarkStart w:id="104"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104"/>
    <w:bookmarkEnd w:id="105"/>
    <w:bookmarkStart w:id="106"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106"/>
    <w:bookmarkStart w:id="107"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10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109"/>
    <w:bookmarkStart w:id="112"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1"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110">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111"/>
    <w:bookmarkEnd w:id="112"/>
    <w:bookmarkStart w:id="115"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14"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113">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114"/>
    <w:bookmarkEnd w:id="115"/>
    <w:bookmarkStart w:id="116"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6"/>
    <w:bookmarkStart w:id="118"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117">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118"/>
    <w:bookmarkStart w:id="121"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120"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119">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120"/>
    <w:bookmarkEnd w:id="121"/>
    <w:bookmarkStart w:id="122"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2"/>
    <w:bookmarkStart w:id="124"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123">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24"/>
    <w:bookmarkStart w:id="125"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5"/>
    <w:bookmarkStart w:id="127"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2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27"/>
    <w:bookmarkStart w:id="128"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8"/>
    <w:bookmarkStart w:id="130"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29">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30"/>
    <w:bookmarkStart w:id="131"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1"/>
    <w:bookmarkStart w:id="133"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32">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33"/>
    <w:bookmarkStart w:id="134"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4"/>
    <w:bookmarkStart w:id="136"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35">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36"/>
    <w:bookmarkStart w:id="137"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37"/>
    <w:bookmarkStart w:id="139"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38">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39"/>
    <w:bookmarkStart w:id="141"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40">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41"/>
    <w:bookmarkStart w:id="142"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2"/>
    <w:bookmarkStart w:id="144"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43">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44"/>
    <w:bookmarkStart w:id="145"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45"/>
    <w:bookmarkStart w:id="146" w:name="manual-do-pci-dss-para-gerentes"/>
    <w:p>
      <w:pPr>
        <w:pStyle w:val="Heading1"/>
      </w:pPr>
      <w:r>
        <w:t xml:space="preserve">20. Manual do PCI DSS para gerentes</w:t>
      </w:r>
    </w:p>
    <w:p>
      <w:pPr>
        <w:pStyle w:val="FirstParagraph"/>
      </w:pPr>
      <w:r>
        <w:rPr>
          <w:iCs/>
          <w:i/>
        </w:rPr>
        <w:t xml:space="preserve">Perguntas, painéis, propriedade e decisões os gerentes devem controlar.</w:t>
      </w:r>
    </w:p>
    <w:bookmarkEnd w:id="146"/>
    <w:bookmarkStart w:id="147"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47"/>
    <w:bookmarkStart w:id="149" w:name="painel"/>
    <w:p>
      <w:pPr>
        <w:pStyle w:val="Heading1"/>
      </w:pPr>
      <w:r>
        <w:t xml:space="preserve"># 20.2 Painel</w:t>
      </w:r>
    </w:p>
    <w:bookmarkStart w:id="148"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48"/>
    <w:bookmarkEnd w:id="149"/>
    <w:bookmarkStart w:id="153"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CaptionedFigure"/>
      </w:pPr>
      <w:r>
        <w:drawing>
          <wp:inline>
            <wp:extent cx="5334000" cy="2653947"/>
            <wp:effectExtent b="0" l="0" r="0" t="0"/>
            <wp:docPr descr="Learn escopo e dados, requisitos de mapa, provas de teste, relatórios de lacunas, e construir um portfólio honesto." title="" id="151" name="Picture"/>
            <a:graphic>
              <a:graphicData uri="http://schemas.openxmlformats.org/drawingml/2006/picture">
                <pic:pic>
                  <pic:nvPicPr>
                    <pic:cNvPr descr="media/image9.png" id="152" name="Picture"/>
                    <pic:cNvPicPr>
                      <a:picLocks noChangeArrowheads="1" noChangeAspect="1"/>
                    </pic:cNvPicPr>
                  </pic:nvPicPr>
                  <pic:blipFill>
                    <a:blip r:embed="rId150"/>
                    <a:stretch>
                      <a:fillRect/>
                    </a:stretch>
                  </pic:blipFill>
                  <pic:spPr bwMode="auto">
                    <a:xfrm>
                      <a:off x="0" y="0"/>
                      <a:ext cx="5334000" cy="2653947"/>
                    </a:xfrm>
                    <a:prstGeom prst="rect">
                      <a:avLst/>
                    </a:prstGeom>
                    <a:noFill/>
                    <a:ln w="9525">
                      <a:noFill/>
                      <a:headEnd/>
                      <a:tailEnd/>
                    </a:ln>
                  </pic:spPr>
                </pic:pic>
              </a:graphicData>
            </a:graphic>
          </wp:inline>
        </w:drawing>
      </w:r>
    </w:p>
    <w:p>
      <w:pPr>
        <w:pStyle w:val="ImageCaption"/>
      </w:pPr>
      <w:r>
        <w:t xml:space="preserve">Learn escopo e dados, requisitos de mapa, provas de teste, relatórios de lacunas, e construir um portfólio honesto.</w:t>
      </w: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53"/>
    <w:bookmarkStart w:id="154"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54"/>
    <w:bookmarkStart w:id="155"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55"/>
    <w:bookmarkStart w:id="156"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56"/>
    <w:bookmarkStart w:id="157" w:name="projeto-2-requisitos"/>
    <w:p>
      <w:pPr>
        <w:pStyle w:val="Heading1"/>
      </w:pPr>
      <w:r>
        <w:t xml:space="preserve"># Projeto 2 — Requisitos</w:t>
      </w:r>
    </w:p>
    <w:p>
      <w:pPr>
        <w:pStyle w:val="FirstParagraph"/>
      </w:pPr>
      <w:r>
        <w:t xml:space="preserve">Criar uma responsabilidade de 12 requisitos e matriz de provas.</w:t>
      </w:r>
    </w:p>
    <w:bookmarkEnd w:id="157"/>
    <w:bookmarkStart w:id="158"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58"/>
    <w:bookmarkStart w:id="159" w:name="projeto-4-acesso"/>
    <w:p>
      <w:pPr>
        <w:pStyle w:val="Heading1"/>
      </w:pPr>
      <w:r>
        <w:t xml:space="preserve"># Projeto 4 — Acesso</w:t>
      </w:r>
    </w:p>
    <w:p>
      <w:pPr>
        <w:pStyle w:val="FirstParagraph"/>
      </w:pPr>
      <w:r>
        <w:t xml:space="preserve">Teste o joiner fictício, movedor, leaver, privilegiado, serviço-conta, e provas MFA.</w:t>
      </w:r>
    </w:p>
    <w:bookmarkEnd w:id="159"/>
    <w:bookmarkStart w:id="160"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60"/>
    <w:bookmarkStart w:id="161"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61"/>
    <w:bookmarkStart w:id="162"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62"/>
    <w:bookmarkStart w:id="164"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63"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63"/>
    <w:bookmarkEnd w:id="164"/>
    <w:bookmarkStart w:id="165"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65"/>
    <w:bookmarkStart w:id="166"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66"/>
    <w:bookmarkStart w:id="167"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67"/>
    <w:bookmarkStart w:id="168" w:name="o-que-é-pan"/>
    <w:p>
      <w:pPr>
        <w:pStyle w:val="Heading1"/>
      </w:pPr>
      <w:r>
        <w:t xml:space="preserve"># O que é PAN?</w:t>
      </w:r>
    </w:p>
    <w:p>
      <w:pPr>
        <w:pStyle w:val="FirstParagraph"/>
      </w:pPr>
      <w:r>
        <w:t xml:space="preserve">O número da conta primária. Sua presença é central para a aplicabilidade do PCI DSS.</w:t>
      </w:r>
    </w:p>
    <w:bookmarkEnd w:id="168"/>
    <w:bookmarkStart w:id="169"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69"/>
    <w:bookmarkStart w:id="170"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70"/>
    <w:bookmarkStart w:id="171"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71"/>
    <w:bookmarkStart w:id="172"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72"/>
    <w:bookmarkStart w:id="173"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73"/>
    <w:bookmarkStart w:id="174"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74"/>
    <w:bookmarkStart w:id="175"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75"/>
    <w:bookmarkStart w:id="176"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76"/>
    <w:bookmarkStart w:id="177"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77"/>
    <w:bookmarkStart w:id="178"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78"/>
    <w:bookmarkStart w:id="179"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79"/>
    <w:bookmarkStart w:id="181" w:name="índice-de-assunto"/>
    <w:p>
      <w:pPr>
        <w:pStyle w:val="Heading1"/>
      </w:pPr>
      <w:r>
        <w:t xml:space="preserve"># 25.4 Índice de assunto</w:t>
      </w:r>
    </w:p>
    <w:bookmarkStart w:id="180"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80"/>
    <w:bookmarkEnd w:id="181"/>
    <w:bookmarkStart w:id="189"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82">
        <w:r>
          <w:rPr>
            <w:rStyle w:val="Hyperlink"/>
          </w:rPr>
          <w:t xml:space="preserve">Biblioteca de documentos do PCI SSC</w:t>
        </w:r>
      </w:hyperlink>
    </w:p>
    <w:p>
      <w:pPr>
        <w:pStyle w:val="BodyText"/>
      </w:pPr>
      <w:hyperlink r:id="rId183">
        <w:r>
          <w:rPr>
            <w:rStyle w:val="Hyperlink"/>
          </w:rPr>
          <w:t xml:space="preserve">PCI DSS v4.x Resource Hub</w:t>
        </w:r>
      </w:hyperlink>
    </w:p>
    <w:p>
      <w:pPr>
        <w:pStyle w:val="BodyText"/>
      </w:pPr>
      <w:hyperlink r:id="rId184">
        <w:r>
          <w:rPr>
            <w:rStyle w:val="Hyperlink"/>
          </w:rPr>
          <w:t xml:space="preserve">Acabado de Publicar: PCI DSS v4.0.1</w:t>
        </w:r>
      </w:hyperlink>
    </w:p>
    <w:p>
      <w:pPr>
        <w:pStyle w:val="BodyText"/>
      </w:pPr>
      <w:hyperlink r:id="rId185">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86">
        <w:r>
          <w:rPr>
            <w:rStyle w:val="Hyperlink"/>
          </w:rPr>
          <w:t xml:space="preserve">Página de pagamento Segurança e Prevenção de E-Skimming</w:t>
        </w:r>
      </w:hyperlink>
    </w:p>
    <w:p>
      <w:pPr>
        <w:pStyle w:val="BodyText"/>
      </w:pPr>
      <w:hyperlink r:id="rId187">
        <w:r>
          <w:rPr>
            <w:rStyle w:val="Hyperlink"/>
          </w:rPr>
          <w:t xml:space="preserve">Avaliadores qualificados do CSS do PCI</w:t>
        </w:r>
      </w:hyperlink>
    </w:p>
    <w:p>
      <w:pPr>
        <w:pStyle w:val="BodyText"/>
      </w:pPr>
      <w:hyperlink r:id="rId188">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50" Target="media/rId50.png" /><Relationship Type="http://schemas.openxmlformats.org/officeDocument/2006/relationships/image" Id="rId71" Target="media/rId71.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50" Target="media/rId150.png" /><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0" Target="https://aide.github.io/" TargetMode="External" /><Relationship Type="http://schemas.openxmlformats.org/officeDocument/2006/relationships/hyperlink" Id="rId184" Target="https://blog.pcisecuritystandards.org/just-published-pci-dss-v4-0-1" TargetMode="External" /><Relationship Type="http://schemas.openxmlformats.org/officeDocument/2006/relationships/hyperlink" Id="rId186" Target="https://blog.pcisecuritystandards.org/new-information-supplement-payment-page-security-and-preventing-e-skimming" TargetMode="External" /><Relationship Type="http://schemas.openxmlformats.org/officeDocument/2006/relationships/hyperlink" Id="rId183" Target="https://blog.pcisecuritystandards.org/pci-dss-v4-0-resource-hub" TargetMode="External" /><Relationship Type="http://schemas.openxmlformats.org/officeDocument/2006/relationships/hyperlink" Id="rId129" Target="https://coreruleset.org/docs/" TargetMode="External" /><Relationship Type="http://schemas.openxmlformats.org/officeDocument/2006/relationships/hyperlink" Id="rId138" Target="https://docs.defectdojo.com/" TargetMode="External" /><Relationship Type="http://schemas.openxmlformats.org/officeDocument/2006/relationships/hyperlink" Id="rId132" Target="https://docs.suricata.io/" TargetMode="External" /><Relationship Type="http://schemas.openxmlformats.org/officeDocument/2006/relationships/hyperlink" Id="rId108" Target="https://documentation.wazuh.com/current/quickstart.html" TargetMode="External" /><Relationship Type="http://schemas.openxmlformats.org/officeDocument/2006/relationships/hyperlink" Id="rId117" Target="https://greenbone.github.io/docs/latest/" TargetMode="External" /><Relationship Type="http://schemas.openxmlformats.org/officeDocument/2006/relationships/hyperlink" Id="rId119" Target="https://nmap.org/book/man.html" TargetMode="External" /><Relationship Type="http://schemas.openxmlformats.org/officeDocument/2006/relationships/hyperlink" Id="rId110" Target="https://osquery.readthedocs.io/en/stable/" TargetMode="External" /><Relationship Type="http://schemas.openxmlformats.org/officeDocument/2006/relationships/hyperlink" Id="rId123" Target="https://trivy.dev/latest/" TargetMode="External" /><Relationship Type="http://schemas.openxmlformats.org/officeDocument/2006/relationships/hyperlink" Id="rId135" Target="https://www.keycloak.org/guides" TargetMode="External" /><Relationship Type="http://schemas.openxmlformats.org/officeDocument/2006/relationships/hyperlink" Id="rId113" Target="https://www.open-scap.org/getting-started/" TargetMode="External" /><Relationship Type="http://schemas.openxmlformats.org/officeDocument/2006/relationships/hyperlink" Id="rId143" Target="https://www.openpolicyagent.org/docs" TargetMode="External" /><Relationship Type="http://schemas.openxmlformats.org/officeDocument/2006/relationships/hyperlink" Id="rId188" Target="https://www.pcisecuritystandards.org/assessors_and_solutions/approved_scanning_vendors" TargetMode="External" /><Relationship Type="http://schemas.openxmlformats.org/officeDocument/2006/relationships/hyperlink" Id="rId187" Target="https://www.pcisecuritystandards.org/assessors_and_solutions/qualified_security_assessors" TargetMode="External" /><Relationship Type="http://schemas.openxmlformats.org/officeDocument/2006/relationships/hyperlink" Id="rId182" Target="https://www.pcisecuritystandards.org/document_library/" TargetMode="External" /><Relationship Type="http://schemas.openxmlformats.org/officeDocument/2006/relationships/hyperlink" Id="rId185" Target="https://www.pcisecuritystandards.org/standards/" TargetMode="External" /><Relationship Type="http://schemas.openxmlformats.org/officeDocument/2006/relationships/hyperlink" Id="rId12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2026-07-31T00:51:45Z</dcterms:created>
  <dcterms:modified xsi:type="dcterms:W3CDTF">2026-07-31T00:51:45Z</dcterms:modified>
</cp:coreProperties>
</file>

<file path=docProps/custom.xml><?xml version="1.0" encoding="utf-8"?>
<Properties xmlns="http://schemas.openxmlformats.org/officeDocument/2006/custom-properties" xmlns:vt="http://schemas.openxmlformats.org/officeDocument/2006/docPropsVTypes"/>
</file>