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39.png" ContentType="image/png"/>
  <Override PartName="/word/media/rId43.png" ContentType="image/png"/>
  <Override PartName="/word/media/rId49.png" ContentType="image/png"/>
  <Override PartName="/word/media/rId62.png" ContentType="image/png"/>
  <Override PartName="/word/media/rId68.png" ContentType="image/png"/>
  <Override PartName="/word/media/rId82.png" ContentType="image/png"/>
  <Override PartName="/word/media/rId85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3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Sempre confirme a documentação e o contrato exatos do serviço; diagramas são pontos de partida simplificados." title="" id="29" name="Picture"/>
            <a:graphic>
              <a:graphicData uri="http://schemas.openxmlformats.org/drawingml/2006/picture">
                <pic:pic>
                  <pic:nvPicPr>
                    <pic:cNvPr descr="media/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Sempre confirme a documentação e o contrato exatos do serviço; diagramas são pontos de partida simplificados.</w:t>
      </w: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31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31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32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32"/>
    <w:bookmarkEnd w:id="33"/>
    <w:bookmarkStart w:id="36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4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4"/>
    <w:bookmarkStart w:id="35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5"/>
    <w:bookmarkEnd w:id="36"/>
    <w:bookmarkStart w:id="38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7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7"/>
    <w:bookmarkEnd w:id="38"/>
    <w:bookmarkStart w:id="42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Hierarquia, identidade, redes, logs centralizados, políticas e separação de cargas de trabalho criam guardrails consistentes." title="" id="40" name="Picture"/>
            <a:graphic>
              <a:graphicData uri="http://schemas.openxmlformats.org/drawingml/2006/picture">
                <pic:pic>
                  <pic:nvPicPr>
                    <pic:cNvPr descr="media/image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Hierarquia, identidade, redes, logs centralizados, políticas e separação de cargas de trabalho criam guardrails consistentes.</w:t>
      </w:r>
    </w:p>
    <w:p>
      <w:pPr>
        <w:pStyle w:val="BodyText"/>
      </w:pPr>
      <w:r>
        <w:t xml:space="preserve">Figura 2. Fundação da zona de aterragem</w:t>
      </w:r>
    </w:p>
    <w:bookmarkEnd w:id="42"/>
    <w:bookmarkStart w:id="46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mprovação de identidade robusta, MFA, privilégio mínimo, controle de sessão, revisão e revogação reduzem o risco do plano de controle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Comprovação de identidade robusta, MFA, privilégio mínimo, controle de sessão, revisão e revogação reduzem o risco do plano de controle.</w:t>
      </w: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46"/>
    <w:bookmarkStart w:id="48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47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47"/>
    <w:bookmarkEnd w:id="48"/>
    <w:bookmarkStart w:id="53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companhe os dados desde a descoberta e a finalidade até a exclusão controlada, incluindo réplicas, logs, backups e subprocessadores." title="" id="50" name="Picture"/>
            <a:graphic>
              <a:graphicData uri="http://schemas.openxmlformats.org/drawingml/2006/picture">
                <pic:pic>
                  <pic:nvPicPr>
                    <pic:cNvPr descr="media/image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Acompanhe os dados desde a descoberta e a finalidade até a exclusão controlada, incluindo réplicas, logs, backups e subprocessadores.</w:t>
      </w: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52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52"/>
    <w:bookmarkEnd w:id="53"/>
    <w:bookmarkStart w:id="55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54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54"/>
    <w:bookmarkEnd w:id="55"/>
    <w:bookmarkStart w:id="58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56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56"/>
    <w:bookmarkStart w:id="57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57"/>
    <w:bookmarkEnd w:id="58"/>
    <w:bookmarkStart w:id="59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59"/>
    <w:bookmarkStart w:id="61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60" w:name="resource-foco-de-segurança-evidência"/>
      <w:r>
        <w:t xml:space="preserve">Resource** ** Foco de segurança** ** Evidência**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61"/>
    <w:bookmarkStart w:id="65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evidências de segurança devem acompanhar o código desde o projeto até a compilação, implantação e execução." title="" id="63" name="Picture"/>
            <a:graphic>
              <a:graphicData uri="http://schemas.openxmlformats.org/drawingml/2006/picture">
                <pic:pic>
                  <pic:nvPicPr>
                    <pic:cNvPr descr="media/image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evidências de segurança devem acompanhar o código desde o projeto até a compilação, implantação e execução.</w:t>
      </w:r>
    </w:p>
    <w:p>
      <w:pPr>
        <w:pStyle w:val="BodyText"/>
      </w:pPr>
      <w:r>
        <w:t xml:space="preserve">Figura 5. Fluxo de DevSecOps em nuvem</w:t>
      </w:r>
    </w:p>
    <w:bookmarkEnd w:id="65"/>
    <w:bookmarkStart w:id="66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66"/>
    <w:bookmarkStart w:id="67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67"/>
    <w:bookmarkStart w:id="73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71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Kubernetes gerenciado ainda requer controle do cliente sobre cargas, acesso, políticas, rede, dados e evidências." title="" id="69" name="Picture"/>
            <a:graphic>
              <a:graphicData uri="http://schemas.openxmlformats.org/drawingml/2006/picture">
                <pic:pic>
                  <pic:nvPicPr>
                    <pic:cNvPr descr="media/image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gerenciado ainda requer controle do cliente sobre cargas, acesso, políticas, rede, dados e evidências.</w:t>
      </w:r>
    </w:p>
    <w:p>
      <w:pPr>
        <w:pStyle w:val="BodyText"/>
      </w:pPr>
      <w:r>
        <w:t xml:space="preserve">Figura 6. Camadas de segurança Kubernetes</w:t>
      </w:r>
    </w:p>
    <w:bookmarkEnd w:id="71"/>
    <w:bookmarkStart w:id="72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72"/>
    <w:bookmarkEnd w:id="73"/>
    <w:bookmarkStart w:id="74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74"/>
    <w:bookmarkStart w:id="76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75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75"/>
    <w:bookmarkEnd w:id="76"/>
    <w:bookmarkStart w:id="77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77"/>
    <w:bookmarkStart w:id="78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78"/>
    <w:bookmarkStart w:id="79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79"/>
    <w:bookmarkStart w:id="80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80"/>
    <w:bookmarkStart w:id="81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81"/>
    <w:bookmarkStart w:id="90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Recursos de disponibilidade não comprovam que o serviço completo do cliente atende ao RTO e RPO." title="" id="83" name="Picture"/>
            <a:graphic>
              <a:graphicData uri="http://schemas.openxmlformats.org/drawingml/2006/picture">
                <pic:pic>
                  <pic:nvPicPr>
                    <pic:cNvPr descr="media/image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Recursos de disponibilidade não comprovam que o serviço completo do cliente atende ao RTO e RPO.</w:t>
      </w:r>
    </w:p>
    <w:p>
      <w:pPr>
        <w:pStyle w:val="BodyText"/>
      </w:pPr>
      <w:r>
        <w:t xml:space="preserve">Figura 7. Resiliência e recuperação em nuvem</w:t>
      </w:r>
    </w:p>
    <w:bookmarkStart w:id="88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serve com segurança os registros do provedor e de identidade antes que as evidências expirem ou as mudanças se propaguem." title="" id="86" name="Picture"/>
            <a:graphic>
              <a:graphicData uri="http://schemas.openxmlformats.org/drawingml/2006/picture">
                <pic:pic>
                  <pic:nvPicPr>
                    <pic:cNvPr descr="media/image8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Preserve com segurança os registros do provedor e de identidade antes que as evidências expirem ou as mudanças se propaguem.</w:t>
      </w:r>
    </w:p>
    <w:p>
      <w:pPr>
        <w:pStyle w:val="BodyText"/>
      </w:pPr>
      <w:r>
        <w:t xml:space="preserve">Figura 8. Fluxo de trabalho incidente na nuvem</w:t>
      </w:r>
    </w:p>
    <w:bookmarkEnd w:id="88"/>
    <w:bookmarkStart w:id="89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89"/>
    <w:bookmarkEnd w:id="90"/>
    <w:bookmarkStart w:id="91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91"/>
    <w:bookmarkStart w:id="92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92"/>
    <w:bookmarkStart w:id="94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93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93"/>
    <w:bookmarkEnd w:id="94"/>
    <w:bookmarkStart w:id="96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95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95"/>
    <w:bookmarkEnd w:id="96"/>
    <w:bookmarkStart w:id="98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97" w:name="artifacto-revisão"/>
      <w:r>
        <w:t xml:space="preserve">Artifacto** ** Revisão**</w:t>
      </w:r>
      <w:bookmarkEnd w:id="97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8"/>
    <w:bookmarkStart w:id="104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vidências automatizadas de configuração só se tornam garantia após avaliar escopo, confiabilidade, exceções e risco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Evidências automatizadas de configuração só se tornam garantia após avaliar escopo, confiabilidade, exceções e risco.</w:t>
      </w:r>
    </w:p>
    <w:p>
      <w:pPr>
        <w:pStyle w:val="BodyText"/>
      </w:pPr>
      <w:r>
        <w:t xml:space="preserve">Figura 9. Cadeia de teste de evidência em nuvem</w:t>
      </w:r>
    </w:p>
    <w:bookmarkStart w:id="103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102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102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103"/>
    <w:bookmarkEnd w:id="104"/>
    <w:bookmarkStart w:id="106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105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5"/>
    <w:bookmarkEnd w:id="106"/>
    <w:bookmarkStart w:id="108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107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07"/>
    <w:bookmarkEnd w:id="108"/>
    <w:bookmarkStart w:id="110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109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0"/>
    <w:bookmarkStart w:id="112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111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2"/>
    <w:bookmarkStart w:id="114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113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4"/>
    <w:bookmarkStart w:id="116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115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6"/>
    <w:bookmarkStart w:id="118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117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8"/>
    <w:bookmarkStart w:id="120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119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0"/>
    <w:bookmarkStart w:id="122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121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2"/>
    <w:bookmarkStart w:id="124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123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4"/>
    <w:bookmarkStart w:id="126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125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6"/>
    <w:bookmarkStart w:id="128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2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8"/>
    <w:bookmarkStart w:id="130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29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0"/>
    <w:bookmarkStart w:id="132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31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2"/>
    <w:bookmarkStart w:id="134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33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4"/>
    <w:bookmarkStart w:id="136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35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6"/>
    <w:bookmarkStart w:id="138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37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8"/>
    <w:bookmarkStart w:id="140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39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0"/>
    <w:bookmarkStart w:id="142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4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2"/>
    <w:bookmarkStart w:id="144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43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4"/>
    <w:bookmarkStart w:id="146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45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45"/>
    <w:bookmarkEnd w:id="146"/>
    <w:bookmarkStart w:id="15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Laboratórios seguros e evidências rastreáveis transformam conceitos de nuvem em comprovação de portfólio." title="" id="148" name="Picture"/>
            <a:graphic>
              <a:graphicData uri="http://schemas.openxmlformats.org/drawingml/2006/picture">
                <pic:pic>
                  <pic:nvPicPr>
                    <pic:cNvPr descr="media/image10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Laboratórios seguros e evidências rastreáveis transformam conceitos de nuvem em comprovação de portfólio.</w:t>
      </w:r>
    </w:p>
    <w:p>
      <w:pPr>
        <w:pStyle w:val="BodyText"/>
      </w:pPr>
      <w:r>
        <w:t xml:space="preserve">Figura 10. Caminho de analista de segurança de nuvem júnior</w:t>
      </w:r>
    </w:p>
    <w:bookmarkEnd w:id="150"/>
    <w:bookmarkStart w:id="15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51"/>
    <w:bookmarkStart w:id="15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52"/>
    <w:bookmarkStart w:id="15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5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53"/>
    <w:bookmarkEnd w:id="154"/>
    <w:bookmarkStart w:id="15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55" w:name="dias-foco-entrega"/>
      <w:r>
        <w:t xml:space="preserve">Dias** * Foco** * Entrega**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56"/>
    <w:bookmarkStart w:id="16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5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57"/>
    <w:bookmarkStart w:id="15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58"/>
    <w:bookmarkStart w:id="15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59"/>
    <w:bookmarkStart w:id="16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60"/>
    <w:bookmarkStart w:id="16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61"/>
    <w:bookmarkStart w:id="16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62"/>
    <w:bookmarkEnd w:id="163"/>
    <w:bookmarkStart w:id="16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64"/>
    <w:bookmarkStart w:id="16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65"/>
    <w:bookmarkStart w:id="16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66"/>
    <w:bookmarkStart w:id="16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6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67" w:name="campo-entrada"/>
      <w:r>
        <w:t xml:space="preserve">Campo** * Entrada**</w:t>
      </w:r>
      <w:bookmarkEnd w:id="16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68"/>
    <w:bookmarkEnd w:id="169"/>
    <w:bookmarkStart w:id="17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70" w:name="campo-entrada-1"/>
      <w:r>
        <w:t xml:space="preserve">Campo** * Entrada**</w:t>
      </w:r>
      <w:bookmarkEnd w:id="17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7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71" w:name="campo-entrada-2"/>
      <w:r>
        <w:t xml:space="preserve">Campo** * Entrada**</w:t>
      </w:r>
      <w:bookmarkEnd w:id="17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72"/>
    <w:bookmarkEnd w:id="173"/>
    <w:bookmarkStart w:id="17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74" w:name="campo-entrada-3"/>
      <w:r>
        <w:t xml:space="preserve">Campo** * Entrada**</w:t>
      </w:r>
      <w:bookmarkEnd w:id="17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75"/>
    <w:bookmarkStart w:id="177" w:name="glossário"/>
    <w:p>
      <w:pPr>
        <w:pStyle w:val="Heading1"/>
      </w:pPr>
      <w:r>
        <w:t xml:space="preserve"># 30.5 Glossário</w:t>
      </w:r>
    </w:p>
    <w:bookmarkStart w:id="17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76"/>
    <w:bookmarkEnd w:id="177"/>
    <w:bookmarkStart w:id="193" w:name="índice-de-assunto"/>
    <w:p>
      <w:pPr>
        <w:pStyle w:val="Heading1"/>
      </w:pPr>
      <w:r>
        <w:t xml:space="preserve"># 30.6 Índice de assunto</w:t>
      </w:r>
    </w:p>
    <w:bookmarkStart w:id="17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78"/>
    <w:bookmarkStart w:id="19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7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8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8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8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8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8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8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8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8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8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8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90">
        <w:r>
          <w:rPr>
            <w:rStyle w:val="Hyperlink"/>
          </w:rPr>
          <w:t xml:space="preserve">OWASP Cloud-Native Application Security Top 10</w:t>
        </w:r>
      </w:hyperlink>
    </w:p>
    <w:bookmarkEnd w:id="191"/>
    <w:bookmarkStart w:id="19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99" Target="media/rId99.png" /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2026-07-31T00:51:34Z</dcterms:created>
  <dcterms:modified xsi:type="dcterms:W3CDTF">2026-07-31T00:51:34Z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