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18 Controles • 153 Salvaguardias • IG1, IG2, IG3 • medición • evidencia • herramientas • manual de gestión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p>
      <w:pPr>
        <w:numPr>
          <w:ilvl w:val="0"/>
          <w:numId w:val="1002"/>
        </w:numPr>
        <w:pStyle w:val="Compact"/>
      </w:pPr>
      <w:r>
        <w:t xml:space="preserve">Controles CIS v8.1 Fundaciones</w:t>
      </w:r>
    </w:p>
    <w:p>
      <w:pPr>
        <w:pStyle w:val="FirstParagraph"/>
      </w:pPr>
      <w:r>
        <w:rPr>
          <w:iCs/>
          <w:i/>
        </w:rPr>
        <w:t xml:space="preserve">La versión actual, estructura, propósito y limitaciones.</w:t>
      </w:r>
    </w:p>
    <w:p>
      <w:pPr>
        <w:pStyle w:val="BodyText"/>
      </w:pPr>
      <w:r>
        <w:t xml:space="preserve">“</w:t>
      </w:r>
      <w:r>
        <w:t xml:space="preserve">El control organiza 153 Salvaguardias en un programa defensivo práctico</w:t>
      </w:r>
      <w:r>
        <w:t xml:space="preserve">”</w:t>
      </w:r>
      <w:r>
        <w:t xml:space="preserve"> </w:t>
      </w:r>
      <w:r>
        <w:t xml:space="preserve">(Nota: 3.94164in” alt=</w:t>
      </w:r>
      <w:r>
        <w:t xml:space="preserve">“</w:t>
      </w:r>
      <w:r>
        <w:t xml:space="preserve">Los controles organizan 153 Salvaguardias en un programa defensivo práctico.</w:t>
      </w:r>
      <w:r>
        <w:t xml:space="preserve">”</w:t>
      </w:r>
      <w:r>
        <w:t xml:space="preserve"> </w:t>
      </w:r>
      <w:r>
        <w:t xml:space="preserve">/</w:t>
      </w:r>
    </w:p>
    <w:p>
      <w:pPr>
        <w:pStyle w:val="BodyText"/>
      </w:pPr>
      <w:r>
        <w:t xml:space="preserve">Figura 1. Los 18 controles de seguridad críticos CIS</w:t>
      </w:r>
    </w:p>
    <w:p>
      <w:pPr>
        <w:numPr>
          <w:ilvl w:val="0"/>
          <w:numId w:val="1003"/>
        </w:numPr>
      </w:pPr>
      <w:r>
        <w:t xml:space="preserve">CIS Controls v8.1 fue publicado en junio de 2024 y sigue siendo la edición actual a partir de julio de 2026.</w:t>
      </w:r>
    </w:p>
    <w:p>
      <w:pPr>
        <w:numPr>
          <w:ilvl w:val="0"/>
          <w:numId w:val="1003"/>
        </w:numPr>
      </w:pPr>
      <w:r>
        <w:t xml:space="preserve">Los Controles se priorizan las mejores prácticas diseñadas para defender sistemas y redes contra ataques frecuentes.</w:t>
      </w:r>
    </w:p>
    <w:p>
      <w:pPr>
        <w:numPr>
          <w:ilvl w:val="0"/>
          <w:numId w:val="1003"/>
        </w:numPr>
      </w:pPr>
      <w:r>
        <w:t xml:space="preserve">El marco contiene 18 Controles y 153 Salvaguardias.</w:t>
      </w:r>
    </w:p>
    <w:p>
      <w:pPr>
        <w:numPr>
          <w:ilvl w:val="0"/>
          <w:numId w:val="1003"/>
        </w:numPr>
      </w:pPr>
      <w:r>
        <w:t xml:space="preserve">Las salvaguardias se refieren a las clases de activos, las funciones de seguridad y los grupos de aplicación.</w:t>
      </w:r>
    </w:p>
    <w:p>
      <w:pPr>
        <w:numPr>
          <w:ilvl w:val="0"/>
          <w:numId w:val="1003"/>
        </w:numPr>
      </w:pPr>
      <w:r>
        <w:t xml:space="preserve">La versión 8.1 alinea su cartografía NIST CSF a CSF 2.0 e incluye cartografías Govern.</w:t>
      </w:r>
    </w:p>
    <w:p>
      <w:pPr>
        <w:numPr>
          <w:ilvl w:val="0"/>
          <w:numId w:val="1003"/>
        </w:numPr>
      </w:pPr>
      <w:r>
        <w:t xml:space="preserve">Existen mapas oficiales para múltiples marcos, pero la aplicación debe verificarse por separado para cada requisito aplicable.</w:t>
      </w:r>
    </w:p>
    <w:p>
      <w:pPr>
        <w:pStyle w:val="FirstParagraph"/>
      </w:pPr>
      <w:r>
        <w:rPr>
          <w:bCs/>
          <w:b/>
        </w:rPr>
        <w:t xml:space="preserve">Layer</w:t>
      </w:r>
      <w:r>
        <w:t xml:space="preserve"> </w:t>
      </w:r>
      <w:r>
        <w:t xml:space="preserve">|</w:t>
      </w:r>
    </w:p>
    <w:p>
      <w:pPr>
        <w:pStyle w:val="BodyText"/>
      </w:pPr>
      <w:r>
        <w:t xml:space="preserve">|… |</w:t>
      </w:r>
      <w:r>
        <w:t xml:space="preserve"> </w:t>
      </w:r>
      <w:r>
        <w:t xml:space="preserve">| Control | Resultado defensivo amplio, como inventario de activos o respuesta a incidentes</w:t>
      </w:r>
      <w:r>
        <w:t xml:space="preserve"> </w:t>
      </w:r>
      <w:r>
        <w:t xml:space="preserve">← Salvaguardia | Acción focalizada que puede ser asignada, implementada y medida</w:t>
      </w:r>
      <w:r>
        <w:t xml:space="preserve"> </w:t>
      </w:r>
      <w:r>
        <w:t xml:space="preserve">| Clase de activos | Tipo de tema afectado, tales como dispositivos, software, datos, red, usuarios o documentación</w:t>
      </w:r>
      <w:r>
        <w:t xml:space="preserve"> </w:t>
      </w:r>
      <w:r>
        <w:t xml:space="preserve">Función de seguridad permanente ← Govern, Identificar, Proteger, Detectar, Responder o Recuperar la cartografía</w:t>
      </w:r>
      <w:r>
        <w:t xml:space="preserve"> </w:t>
      </w:r>
      <w:r>
        <w:t xml:space="preserve">| Grupo de Aplicación | Priorización recomendada basada en el perfil de riesgo y los recursos</w:t>
      </w:r>
      <w:r>
        <w:t xml:space="preserve"> </w:t>
      </w:r>
      <w:r>
        <w:t xml:space="preserve">Medida de evaluación de la vida útil Entradas, operaciones, medidas, métricas y revisión de procedimientos utilizados para evaluar una salvaguardia sometida</w:t>
      </w:r>
    </w:p>
    <w:bookmarkEnd w:id="23"/>
    <w:bookmarkStart w:id="24" w:name="grupos-de-aplicación-y-prioridades"/>
    <w:p>
      <w:pPr>
        <w:pStyle w:val="Heading1"/>
      </w:pPr>
      <w:r>
        <w:t xml:space="preserve">2. Grupos de aplicación y prioridades</w:t>
      </w:r>
    </w:p>
    <w:p>
      <w:pPr>
        <w:pStyle w:val="FirstParagraph"/>
      </w:pPr>
      <w:r>
        <w:rPr>
          <w:iCs/>
          <w:i/>
        </w:rPr>
        <w:t xml:space="preserve">Cómo IG1, IG2, y las organizaciones de ayuda IG3 eligen un punto de partida realista.</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Altura:3.39605in</w:t>
      </w:r>
      <w:r>
        <w:t xml:space="preserve">”</w:t>
      </w:r>
      <w:r>
        <w:t xml:space="preserve"> </w:t>
      </w:r>
      <w:r>
        <w:t xml:space="preserve">alt=</w:t>
      </w:r>
      <w:r>
        <w:t xml:space="preserve">“</w:t>
      </w:r>
      <w:r>
        <w:t xml:space="preserve">Cada grupo se construye sobre el grupo anterior; IG3 contiene todas las Salvaguardias.</w:t>
      </w:r>
      <w:r>
        <w:t xml:space="preserve">”</w:t>
      </w:r>
      <w:r>
        <w:t xml:space="preserve"> </w:t>
      </w:r>
      <w:r>
        <w:t xml:space="preserve">/</w:t>
      </w:r>
    </w:p>
    <w:p>
      <w:pPr>
        <w:pStyle w:val="BodyText"/>
      </w:pPr>
      <w:r>
        <w:t xml:space="preserve">Gráfico 2 Progresión del Grupo de Aplicación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situación física</w:t>
            </w:r>
            <w:r>
              <w:t xml:space="preserve"> </w:t>
            </w:r>
            <w:r>
              <w:t xml:space="preserve">Silencioso**</w:t>
            </w:r>
          </w:p>
        </w:tc>
      </w:tr>
      <w:tr>
        <w:tc>
          <w:tcPr/>
          <w:p>
            <w:pPr>
              <w:pStyle w:val="Compact"/>
              <w:jc w:val="left"/>
            </w:pPr>
            <w:r>
              <w:t xml:space="preserve">IG1</w:t>
            </w:r>
          </w:p>
        </w:tc>
      </w:tr>
      <w:tr>
        <w:tc>
          <w:tcPr/>
          <w:p>
            <w:pPr>
              <w:pStyle w:val="Compact"/>
              <w:jc w:val="left"/>
            </w:pPr>
            <w:r>
              <w:t xml:space="preserve">IG2</w:t>
            </w:r>
          </w:p>
        </w:tc>
      </w:tr>
      <w:tr>
        <w:tc>
          <w:tcPr/>
          <w:p>
            <w:pPr>
              <w:pStyle w:val="Compact"/>
              <w:jc w:val="left"/>
            </w:pPr>
            <w:r>
              <w:t xml:space="preserve">IG3</w:t>
            </w:r>
          </w:p>
        </w:tc>
      </w:tr>
    </w:tbl>
    <w:p>
      <w:pPr>
        <w:numPr>
          <w:ilvl w:val="0"/>
          <w:numId w:val="1004"/>
        </w:numPr>
      </w:pPr>
      <w:r>
        <w:t xml:space="preserve">Cada empresa debe comenzar con IG1 según la orientación CIS.</w:t>
      </w:r>
    </w:p>
    <w:p>
      <w:pPr>
        <w:numPr>
          <w:ilvl w:val="0"/>
          <w:numId w:val="1004"/>
        </w:numPr>
      </w:pPr>
      <w:r>
        <w:t xml:space="preserve">Seleccione un IG considerando la sensibilidad de los datos, los servicios críticos, la exposición a amenazas, las obligaciones jurídicas y contractuales, la tolerancia empresarial, la tecnología, la dotación de personal y los conocimientos especializados.</w:t>
      </w:r>
    </w:p>
    <w:p>
      <w:pPr>
        <w:numPr>
          <w:ilvl w:val="0"/>
          <w:numId w:val="1004"/>
        </w:numPr>
      </w:pPr>
      <w:r>
        <w:t xml:space="preserve">Un IG es una ayuda de priorización, no permiso para ignorar un riesgo material o requisito obligatorio.</w:t>
      </w:r>
    </w:p>
    <w:p>
      <w:pPr>
        <w:numPr>
          <w:ilvl w:val="0"/>
          <w:numId w:val="1004"/>
        </w:numPr>
      </w:pPr>
      <w:r>
        <w:t xml:space="preserve">Adiciones, secuencias, excepciones, aceptación de riesgos, propietarios y fechas.</w:t>
      </w:r>
    </w:p>
    <w:p>
      <w:pPr>
        <w:numPr>
          <w:ilvl w:val="0"/>
          <w:numId w:val="1004"/>
        </w:numPr>
      </w:pPr>
      <w:r>
        <w:t xml:space="preserve">Utilice el navegador oficial de control CIS para filtrar v8.1 Salvaguardias y mapas de revisión.</w:t>
      </w:r>
    </w:p>
    <w:p>
      <w:pPr>
        <w:numPr>
          <w:ilvl w:val="0"/>
          <w:numId w:val="1005"/>
        </w:numPr>
        <w:pStyle w:val="Compact"/>
      </w:pPr>
      <w:r>
        <w:t xml:space="preserve">Gobernanza, alcance y propiedad</w:t>
      </w:r>
    </w:p>
    <w:p>
      <w:pPr>
        <w:pStyle w:val="FirstParagraph"/>
      </w:pPr>
      <w:r>
        <w:rPr>
          <w:iCs/>
          <w:i/>
        </w:rPr>
        <w:t xml:space="preserve">La base de gestión necesaria para que las Salvaguardias funcionen de forma sistemática</w:t>
      </w:r>
      <w:r>
        <w:t xml:space="preserve">.</w:t>
      </w:r>
    </w:p>
    <w:p>
      <w:pPr>
        <w:numPr>
          <w:ilvl w:val="0"/>
          <w:numId w:val="1006"/>
        </w:numPr>
      </w:pPr>
      <w:r>
        <w:t xml:space="preserve">Definir los objetivos institucionales, los servicios críticos, los datos confidenciales, las obligaciones jurídicas y contractuales, el perfil de amenazas, la tolerancia al riesgo y el Grupo de Aplicación elegido.</w:t>
      </w:r>
    </w:p>
    <w:p>
      <w:pPr>
        <w:numPr>
          <w:ilvl w:val="0"/>
          <w:numId w:val="1006"/>
        </w:numPr>
      </w:pPr>
      <w:r>
        <w:t xml:space="preserve">Crear inventarios completos para activos empresariales, software, datos, cuentas, sistemas de autenticación, infraestructura de red, registros, proveedores, aplicaciones y recursos de recuperación.</w:t>
      </w:r>
    </w:p>
    <w:p>
      <w:pPr>
        <w:numPr>
          <w:ilvl w:val="0"/>
          <w:numId w:val="1006"/>
        </w:numPr>
      </w:pPr>
      <w:r>
        <w:t xml:space="preserve">Assign one accountable owner for each Safeguard and operational owners for each affected platform or process.</w:t>
      </w:r>
    </w:p>
    <w:p>
      <w:pPr>
        <w:numPr>
          <w:ilvl w:val="0"/>
          <w:numId w:val="1006"/>
        </w:numPr>
      </w:pPr>
      <w:r>
        <w:t xml:space="preserve">Definir el alcance, la aplicabilidad, las dependencias, las responsabilidades del proveedor de servicios, las excepciones permitidas, la autoridad de aprobación y los desencadenantes de revisión.</w:t>
      </w:r>
    </w:p>
    <w:p>
      <w:pPr>
        <w:numPr>
          <w:ilvl w:val="0"/>
          <w:numId w:val="1006"/>
        </w:numPr>
      </w:pPr>
      <w:r>
        <w:t xml:space="preserve">Planificar financiación, personas, habilidades, tecnología, tiempo y gestión del cambio.</w:t>
      </w:r>
    </w:p>
    <w:p>
      <w:pPr>
        <w:numPr>
          <w:ilvl w:val="0"/>
          <w:numId w:val="1006"/>
        </w:numPr>
      </w:pPr>
      <w:r>
        <w:t xml:space="preserve">Definir las métricas y la presentación de informes antes de la aplicación para que la cobertura y el fracaso sean visibles.</w:t>
      </w:r>
    </w:p>
    <w:p>
      <w:pPr>
        <w:numPr>
          <w:ilvl w:val="0"/>
          <w:numId w:val="1006"/>
        </w:numPr>
      </w:pPr>
      <w:r>
        <w:t xml:space="preserve">Operar un ciclo de gobernanza: priorizar, implementar, medir, corregir, retestar y mejorar.</w:t>
      </w:r>
    </w:p>
    <w:p>
      <w:pPr>
        <w:pStyle w:val="FirstParagraph"/>
      </w:pPr>
      <w:r>
        <w:rPr>
          <w:bCs/>
          <w:b/>
        </w:rPr>
        <w:t xml:space="preserve">Rol</w:t>
      </w:r>
      <w:r>
        <w:t xml:space="preserve"> </w:t>
      </w:r>
      <w:r>
        <w:t xml:space="preserve">|</w:t>
      </w:r>
      <w:r>
        <w:t xml:space="preserve"> </w:t>
      </w:r>
      <w:r>
        <w:rPr>
          <w:bCs/>
          <w:b/>
        </w:rPr>
        <w:t xml:space="preserve">Decisión o responsabilidad</w:t>
      </w:r>
    </w:p>
    <w:p>
      <w:pPr>
        <w:pStyle w:val="BodyText"/>
      </w:pPr>
      <w:r>
        <w:t xml:space="preserve">|… |</w:t>
      </w:r>
      <w:r>
        <w:t xml:space="preserve"> </w:t>
      </w:r>
      <w:r>
        <w:t xml:space="preserve">← Patrocinador ejecutivo Silencioso Dirección, tolerancia al riesgo, financiación, escalada y rendición de cuentas</w:t>
      </w:r>
      <w:r>
        <w:t xml:space="preserve"> </w:t>
      </w:r>
      <w:r>
        <w:t xml:space="preserve">Silencioso Propietario de control | Diseño de salvaguardias, alcance, procedimiento, medición, excepciones y mejora</w:t>
      </w:r>
      <w:r>
        <w:t xml:space="preserve"> </w:t>
      </w:r>
      <w:r>
        <w:t xml:space="preserve">| Asset o propietario de servicio | Inventario exacto, uso aprobado, configuración, impacto de negocios y remediación</w:t>
      </w:r>
      <w:r>
        <w:t xml:space="preserve"> </w:t>
      </w:r>
      <w:r>
        <w:t xml:space="preserve">TENAS Operaciones de seguridad | Monitoreo, alerta, investigación, respuesta y evidencia</w:t>
      </w:r>
      <w:r>
        <w:t xml:space="preserve"> </w:t>
      </w:r>
      <w:r>
        <w:t xml:space="preserve">TEN IT / Engineering | Implementación, control de cambio, parche, configuración y recuperación</w:t>
      </w:r>
      <w:r>
        <w:t xml:space="preserve"> </w:t>
      </w:r>
      <w:r>
        <w:t xml:space="preserve">TEN GRC / Analyst ANTE Mapping, evidencia, medición, hallazgos, seguimiento de la acción y reportaje |</w:t>
      </w:r>
      <w:r>
        <w:t xml:space="preserve"> </w:t>
      </w:r>
      <w:r>
        <w:t xml:space="preserve">tención Auditoría interna / evaluador</w:t>
      </w:r>
      <w:r>
        <w:t xml:space="preserve"> </w:t>
      </w:r>
      <w:r>
        <w:t xml:space="preserve">tención Servicio prestado | Controles, pruebas, incidentes, cambios y soporte de salida</w:t>
      </w:r>
    </w:p>
    <w:bookmarkEnd w:id="24"/>
    <w:bookmarkStart w:id="28" w:name="X6a3aeb613869a9a4041395cfc3b30b698b888c4"/>
    <w:p>
      <w:pPr>
        <w:pStyle w:val="Heading1"/>
      </w:pPr>
      <w:r>
        <w:t xml:space="preserve">4. Medición con la especificación de evaluación CIS</w:t>
      </w:r>
    </w:p>
    <w:p>
      <w:pPr>
        <w:pStyle w:val="FirstParagraph"/>
      </w:pPr>
      <w:r>
        <w:rPr>
          <w:iCs/>
          <w:i/>
        </w:rPr>
        <w:t xml:space="preserve">Un método repetible para decidir si se aplican salvaguardias</w:t>
      </w:r>
      <w:r>
        <w:t xml:space="preserve">.</w:t>
      </w:r>
    </w:p>
    <w:p>
      <w:pPr>
        <w:pStyle w:val="CaptionedFigure"/>
      </w:pPr>
      <w:r>
        <w:drawing>
          <wp:inline>
            <wp:extent cx="5334000" cy="2497753"/>
            <wp:effectExtent b="0" l="0" r="0" t="0"/>
            <wp:docPr descr="La especificación oficial pasa de los datos definidos a las operaciones, medidas, métricas y revisión de procedimiento." title="" id="26" name="Picture"/>
            <a:graphic>
              <a:graphicData uri="http://schemas.openxmlformats.org/drawingml/2006/picture">
                <pic:pic>
                  <pic:nvPicPr>
                    <pic:cNvPr descr="media/image3.png" id="27" name="Picture"/>
                    <pic:cNvPicPr>
                      <a:picLocks noChangeArrowheads="1" noChangeAspect="1"/>
                    </pic:cNvPicPr>
                  </pic:nvPicPr>
                  <pic:blipFill>
                    <a:blip r:embed="rId25"/>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La especificación oficial pasa de los datos definidos a las operaciones, medidas, métricas y revisión de procedimiento.</w:t>
      </w:r>
    </w:p>
    <w:p>
      <w:pPr>
        <w:pStyle w:val="BodyText"/>
      </w:pPr>
      <w:r>
        <w:t xml:space="preserve">Gráfico 3 CIS Estructura de medición de salvaguardias</w:t>
      </w:r>
    </w:p>
    <w:p>
      <w:pPr>
        <w:pStyle w:val="BodyText"/>
      </w:pPr>
      <w:r>
        <w:t xml:space="preserve">|** Element** Silencioso** |</w:t>
      </w:r>
      <w:r>
        <w:t xml:space="preserve"> </w:t>
      </w:r>
      <w:r>
        <w:t xml:space="preserve">|… |</w:t>
      </w:r>
      <w:r>
        <w:t xml:space="preserve"> </w:t>
      </w:r>
      <w:r>
        <w:t xml:space="preserve">metadatos de salvaguardia permanente ¿Cuál es la salvaguardia exacta, clase de activos, función de seguridad y IG?</w:t>
      </w:r>
      <w:r>
        <w:t xml:space="preserve"> </w:t>
      </w:r>
      <w:r>
        <w:t xml:space="preserve">TENIENTES DE LAS CUOTAS ¿Qué otras Salvaguardias o poblaciones deben existir primero?</w:t>
      </w:r>
      <w:r>
        <w:t xml:space="preserve"> </w:t>
      </w:r>
      <w:r>
        <w:t xml:space="preserve">¦ Asunciones | ¿Qué condición aceptada afecta la medición?</w:t>
      </w:r>
      <w:r>
        <w:t xml:space="preserve"> </w:t>
      </w:r>
      <w:r>
        <w:t xml:space="preserve">| ¿Qué datos completos y fiables se requieren? |</w:t>
      </w:r>
      <w:r>
        <w:t xml:space="preserve"> </w:t>
      </w:r>
      <w:r>
        <w:t xml:space="preserve">¿Qué análisis se debe realizar en las entradas? |</w:t>
      </w:r>
      <w:r>
        <w:t xml:space="preserve"> </w:t>
      </w:r>
      <w:r>
        <w:t xml:space="preserve">| ¿Qué cuentas, listas, fechas, configuraciones o resultados resultan? |</w:t>
      </w:r>
      <w:r>
        <w:t xml:space="preserve"> </w:t>
      </w:r>
      <w:r>
        <w:t xml:space="preserve">TENCIÓN FORMULADA ¿Cómo se calculan e interpretan las medidas?</w:t>
      </w:r>
      <w:r>
        <w:t xml:space="preserve"> </w:t>
      </w:r>
      <w:r>
        <w:t xml:space="preserve">¿Existe un proceso documentado e incluye elementos necesarios? |</w:t>
      </w:r>
    </w:p>
    <w:p>
      <w:pPr>
        <w:numPr>
          <w:ilvl w:val="0"/>
          <w:numId w:val="1007"/>
        </w:numPr>
      </w:pPr>
      <w:r>
        <w:t xml:space="preserve">Definir la salvaguardia exacta y la población abarcada.</w:t>
      </w:r>
    </w:p>
    <w:p>
      <w:pPr>
        <w:numPr>
          <w:ilvl w:val="0"/>
          <w:numId w:val="1007"/>
        </w:numPr>
      </w:pPr>
      <w:r>
        <w:t xml:space="preserve">Obtenga los insumos necesarios y valide la integridad, precisión, tiempo, propiedad y fiabilidad de la fuente.</w:t>
      </w:r>
    </w:p>
    <w:p>
      <w:pPr>
        <w:numPr>
          <w:ilvl w:val="0"/>
          <w:numId w:val="1007"/>
        </w:numPr>
      </w:pPr>
      <w:r>
        <w:t xml:space="preserve">Siga las operaciones oficiales de medición o documente un método fiable equivalente.</w:t>
      </w:r>
    </w:p>
    <w:p>
      <w:pPr>
        <w:numPr>
          <w:ilvl w:val="0"/>
          <w:numId w:val="1007"/>
        </w:numPr>
      </w:pPr>
      <w:r>
        <w:t xml:space="preserve">Retener cálculos de medida y la población de excepción subyacente, no sólo un porcentaje.</w:t>
      </w:r>
    </w:p>
    <w:p>
      <w:pPr>
        <w:numPr>
          <w:ilvl w:val="0"/>
          <w:numId w:val="1007"/>
        </w:numPr>
      </w:pPr>
      <w:r>
        <w:t xml:space="preserve">Evaluar si se implementa la Salvaguardia y qué tan bien funciona.</w:t>
      </w:r>
    </w:p>
    <w:p>
      <w:pPr>
        <w:numPr>
          <w:ilvl w:val="0"/>
          <w:numId w:val="1007"/>
        </w:numPr>
      </w:pPr>
      <w:r>
        <w:t xml:space="preserve">Asignar una corrección para la cobertura perdida, mala configuración, revisión atrasada, excepciones o datos poco fiables.</w:t>
      </w:r>
    </w:p>
    <w:p>
      <w:pPr>
        <w:numPr>
          <w:ilvl w:val="0"/>
          <w:numId w:val="1007"/>
        </w:numPr>
      </w:pPr>
      <w:r>
        <w:t xml:space="preserve">Retesta utilizando los mismos criterios y la población refrescante.</w:t>
      </w:r>
    </w:p>
    <w:p>
      <w:pPr>
        <w:numPr>
          <w:ilvl w:val="0"/>
          <w:numId w:val="1007"/>
        </w:numPr>
      </w:pPr>
      <w:r>
        <w:t xml:space="preserve">Report scope, result, exception, limitation, owner, action, and date.</w:t>
      </w:r>
    </w:p>
    <w:bookmarkEnd w:id="28"/>
    <w:bookmarkStart w:id="29" w:name="aplicación-de-la-hoja-de-ruta"/>
    <w:p>
      <w:pPr>
        <w:pStyle w:val="Heading1"/>
      </w:pPr>
      <w:r>
        <w:t xml:space="preserve">5. Aplicación de la hoja de ruta</w:t>
      </w:r>
    </w:p>
    <w:p>
      <w:pPr>
        <w:pStyle w:val="FirstParagraph"/>
      </w:pPr>
      <w:r>
        <w:rPr>
          <w:iCs/>
          <w:i/>
        </w:rPr>
        <w:t xml:space="preserve">Una secuencia práctica de los inventarios a la resiliencia probada</w:t>
      </w:r>
      <w:r>
        <w:t xml:space="preserve">.</w:t>
      </w:r>
    </w:p>
    <w:p>
      <w:pPr>
        <w:numPr>
          <w:ilvl w:val="0"/>
          <w:numId w:val="1008"/>
        </w:numPr>
      </w:pPr>
      <w:r>
        <w:t xml:space="preserve">Elija y documente el Grupo de Aplicación inicial y cualquier adición necesaria.</w:t>
      </w:r>
    </w:p>
    <w:p>
      <w:pPr>
        <w:numPr>
          <w:ilvl w:val="0"/>
          <w:numId w:val="1008"/>
        </w:numPr>
      </w:pPr>
      <w:r>
        <w:t xml:space="preserve">Construir y reconciliar las poblaciones principales: activos, software, datos, cuentas, sistemas de autenticación, red, proveedores, aplicaciones y registros.</w:t>
      </w:r>
    </w:p>
    <w:p>
      <w:pPr>
        <w:numPr>
          <w:ilvl w:val="0"/>
          <w:numId w:val="1008"/>
        </w:numPr>
      </w:pPr>
      <w:r>
        <w:t xml:space="preserve">Aplicar las salvaguardias IG1 con los propietarios, procedimientos, métricas de cobertura, excepciones y pruebas.</w:t>
      </w:r>
    </w:p>
    <w:p>
      <w:pPr>
        <w:numPr>
          <w:ilvl w:val="0"/>
          <w:numId w:val="1008"/>
        </w:numPr>
      </w:pPr>
      <w:r>
        <w:t xml:space="preserve">Identidades seguras, configuraciones, vulnerabilidades, correo electrónico, navegadores, defensas de malware, respaldos y monitoreo esencial.</w:t>
      </w:r>
    </w:p>
    <w:p>
      <w:pPr>
        <w:numPr>
          <w:ilvl w:val="0"/>
          <w:numId w:val="1008"/>
        </w:numPr>
      </w:pPr>
      <w:r>
        <w:t xml:space="preserve">Respuesta y recuperación de incidentes de ejercicio antes de una emergencia real.</w:t>
      </w:r>
    </w:p>
    <w:p>
      <w:pPr>
        <w:numPr>
          <w:ilvl w:val="0"/>
          <w:numId w:val="1008"/>
        </w:numPr>
      </w:pPr>
      <w:r>
        <w:t xml:space="preserve">Medir todas las salvaguardias aplicables utilizando insumos fiables y operaciones repetibles.</w:t>
      </w:r>
    </w:p>
    <w:p>
      <w:pPr>
        <w:numPr>
          <w:ilvl w:val="0"/>
          <w:numId w:val="1008"/>
        </w:numPr>
      </w:pPr>
      <w:r>
        <w:t xml:space="preserve">Cobertura incompleta y fallos repetidos; verificar las correcciones mediante el replanteamiento.</w:t>
      </w:r>
    </w:p>
    <w:p>
      <w:pPr>
        <w:numPr>
          <w:ilvl w:val="0"/>
          <w:numId w:val="1008"/>
        </w:numPr>
      </w:pPr>
      <w:r>
        <w:t xml:space="preserve">Ampliar hacia IG2 o IG3 sobre la base de riesgos, obligaciones, madurez y exposición a amenazas.</w:t>
      </w:r>
    </w:p>
    <w:p>
      <w:pPr>
        <w:numPr>
          <w:ilvl w:val="0"/>
          <w:numId w:val="1008"/>
        </w:numPr>
      </w:pPr>
      <w:r>
        <w:t xml:space="preserve">Utilizar mapas oficiales para coordinar otros marcos sin tratar las asignaciones como cumplimiento automático.</w:t>
      </w:r>
    </w:p>
    <w:p>
      <w:pPr>
        <w:pStyle w:val="FirstParagraph"/>
      </w:pPr>
      <w:r>
        <w:t xml:space="preserve">tención</w:t>
      </w:r>
      <w:r>
        <w:t xml:space="preserve"> </w:t>
      </w:r>
      <w:r>
        <w:rPr>
          <w:bCs/>
          <w:b/>
        </w:rPr>
        <w:t xml:space="preserve">Principio de aplicación:</w:t>
      </w:r>
      <w:r>
        <w:t xml:space="preserve"> </w:t>
      </w:r>
      <w:r>
        <w:t xml:space="preserve">Un grupo más pequeño de Salvaguardias que es totalmente abarcado, operado, medido y mejorado es más defensible que una larga lista marcada completa sin pruebas fiables. |</w:t>
      </w:r>
      <w:r>
        <w:t xml:space="preserve"> </w:t>
      </w:r>
      <w:r>
        <w:t xml:space="preserve">|. |</w:t>
      </w:r>
    </w:p>
    <w:bookmarkEnd w:id="29"/>
    <w:bookmarkStart w:id="30" w:name="X81f4d9d1cf949789b733a767fd2187f45480d1b"/>
    <w:p>
      <w:pPr>
        <w:pStyle w:val="Heading1"/>
      </w:pPr>
      <w:r>
        <w:t xml:space="preserve">6. Control 1 - Inventario y Control de Activos Empresarios</w:t>
      </w:r>
    </w:p>
    <w:p>
      <w:pPr>
        <w:pStyle w:val="FirstParagraph"/>
      </w:pPr>
      <w:r>
        <w:rPr>
          <w:iCs/>
          <w:i/>
        </w:rPr>
        <w:t xml:space="preserve">Las 5 Salvaguardias, significado claro, enfoque de verificación y evidencia de ejemplo</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width:6.15in;height:3.38991in</w:t>
      </w:r>
      <w:r>
        <w:t xml:space="preserve">”</w:t>
      </w:r>
      <w:r>
        <w:t xml:space="preserve"> </w:t>
      </w:r>
      <w:r>
        <w:t xml:space="preserve">alt=</w:t>
      </w:r>
      <w:r>
        <w:t xml:space="preserve">“</w:t>
      </w:r>
      <w:r>
        <w:t xml:space="preserve">Descubrimiento, reconciliación, respuesta y revisión mantienen a las poblaciones fundacionales actuales.</w:t>
      </w:r>
      <w:r>
        <w:t xml:space="preserve">”</w:t>
      </w:r>
    </w:p>
    <w:p>
      <w:pPr>
        <w:pStyle w:val="BodyText"/>
      </w:pPr>
      <w:r>
        <w:t xml:space="preserve">Figure 4. Asset and software inventory cycle</w:t>
      </w:r>
    </w:p>
    <w:p>
      <w:pPr>
        <w:pStyle w:val="BodyText"/>
      </w:pPr>
      <w:r>
        <w:t xml:space="preserve">** Objetivo de control:** Fortalecer la empresa mediante la aplicación y medición de las salvaguardias para el inventario y el control de los activos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Ø 1.5 Ø Utilizar una herramienta de descubrimiento de activos pasivos Ponga en marcha un proceso repetible, de propiedad o control técnico para utilizar una herramienta Passive Asset Discovery Tool, a continuación, verifique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0"/>
    <w:bookmarkStart w:id="31" w:name="X7af2b88095d7b03a53fca2829b4a7a66e9259a3"/>
    <w:p>
      <w:pPr>
        <w:pStyle w:val="Heading1"/>
      </w:pPr>
      <w:r>
        <w:t xml:space="preserve">7. Control 2 - Inventario y control de activos de software</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el inventario y el control de los activos informáticos.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r>
        <w:tc>
          <w:tcPr/>
          <w:p>
            <w:pPr>
              <w:pStyle w:val="Compact"/>
              <w:jc w:val="left"/>
            </w:pPr>
            <w:r>
              <w:t xml:space="preserve">2.4</w:t>
            </w:r>
          </w:p>
        </w:tc>
      </w:tr>
      <w:tr>
        <w:tc>
          <w:tcPr/>
          <w:p>
            <w:pPr>
              <w:pStyle w:val="Compact"/>
              <w:jc w:val="left"/>
            </w:pPr>
            <w:r>
              <w:t xml:space="preserve">2.5 Silencioso Software autorizado Ponga en marcha un proceso repetible, de propiedad o control técnico para permitir el Software Autorizado, a continuación, verifique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p>
        </w:tc>
      </w:tr>
      <w:tr>
        <w:tc>
          <w:tcPr/>
          <w:p>
            <w:pPr>
              <w:pStyle w:val="Compact"/>
              <w:jc w:val="left"/>
            </w:pPr>
            <w:r>
              <w:t xml:space="preserve">2.6</w:t>
            </w:r>
          </w:p>
        </w:tc>
      </w:tr>
      <w:tr>
        <w:tc>
          <w:tcPr/>
          <w:p>
            <w:pPr>
              <w:pStyle w:val="Compact"/>
              <w:jc w:val="left"/>
            </w:pPr>
            <w:r>
              <w:t xml:space="preserve">2.7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09"/>
        </w:numPr>
        <w:pStyle w:val="Compact"/>
      </w:pPr>
      <w:r>
        <w:t xml:space="preserve">Control 3 - Protección de datos</w:t>
      </w:r>
    </w:p>
    <w:p>
      <w:pPr>
        <w:pStyle w:val="FirstParagraph"/>
      </w:pPr>
      <w:r>
        <w:rPr>
          <w:iCs/>
          <w:i/>
        </w:rPr>
        <w:t xml:space="preserve">Todas las 14 Salvaguardias, significado claro, enfoque de verificación y evidencia de ejemplo</w:t>
      </w:r>
      <w:r>
        <w:t xml:space="preserve">.</w:t>
      </w:r>
    </w:p>
    <w:p>
      <w:pPr>
        <w:pStyle w:val="BodyText"/>
      </w:pPr>
      <w:r>
        <w:t xml:space="preserve">יimg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Descubrir, clasificar, proteger, retener y disponer de datos de acuerdo a la sensibilidad y la necesidad.</w:t>
      </w:r>
      <w:r>
        <w:t xml:space="preserve">”</w:t>
      </w:r>
    </w:p>
    <w:p>
      <w:pPr>
        <w:pStyle w:val="BodyText"/>
      </w:pPr>
      <w:r>
        <w:t xml:space="preserve">Gráfico 5 Ciclo de vida de protección de datos</w:t>
      </w:r>
    </w:p>
    <w:p>
      <w:pPr>
        <w:pStyle w:val="BodyText"/>
      </w:pPr>
      <w:r>
        <w:t xml:space="preserve">** Objetivo de control:** Fortalecer la empresa mediante la aplicación y medición de salvaguardias para la protección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3.1</w:t>
            </w:r>
          </w:p>
        </w:tc>
      </w:tr>
      <w:tr>
        <w:tc>
          <w:tcPr/>
          <w:p>
            <w:pPr>
              <w:pStyle w:val="Compact"/>
              <w:jc w:val="left"/>
            </w:pPr>
            <w:r>
              <w:t xml:space="preserve">TEN 3.2</w:t>
            </w:r>
          </w:p>
        </w:tc>
      </w:tr>
      <w:tr>
        <w:tc>
          <w:tcPr/>
          <w:p>
            <w:pPr>
              <w:pStyle w:val="Compact"/>
              <w:jc w:val="left"/>
            </w:pPr>
            <w:r>
              <w:t xml:space="preserve">3.3</w:t>
            </w:r>
          </w:p>
        </w:tc>
      </w:tr>
    </w:tbl>
    <w:p>
      <w:pPr>
        <w:pStyle w:val="BodyText"/>
      </w:pPr>
      <w:r>
        <w:t xml:space="preserve">TEN 3.4 TENCIÓN DE LOS RECURSOS DE EJECUCIÓN DE LOS Datos TENIENTES Ponga en marcha un proceso repetible, de propiedad o control técnico para hacer cumplir la Retención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3.5 TENIENDO EL DISPONIBLE DE LOS Datos Ponga en marcha un proceso repetible, de propiedad o control técnico para disponer de datos de forma segura,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3.6 ← Encrypt Data on End-User Devices tención Ponga en marcha un proceso repetible, de propiedad o control técnico para cifrar datos sobre dispositivos de usuario final,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3.7 | Establecer y mantener un plan de clasificación de datos | Poner en marcha un proceso de repetición, propiedad o control técnico para establecer y mantener un plan de clasificación de datos,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3.8 | Document Data Flows | Ponga en marcha un proceso repetible, de propiedad o control técnico para documentar los flujos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3.9 | Datos de cifrado en medios extraíbles ANTEPonga un proceso repetible, de propiedad o control técnico en su lugar para cifrar datos en medios extraíbles, luego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3.10 | Encrypt Sensitive Data in Transit ← Ponga en marcha un proceso repetible, de propiedad o control técnico para cifrar datos sensibles en tránsito,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3.11 | Encrypt Sensitive Data At Rest Ponga en marcha un proceso repetible, de propiedad o control técnico para cifrar datos sensibles en reposo,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3.12 | Segment Data Processing and Storage Based on Sensitivity TEN Poner en marcha un proceso repetible, de propiedad o control técnico para segmentar el procesamiento de datos y almacenamiento basado en la sensibilidad,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3.13 | Implementar una solución de prevención de la pérdida de datos Ponga en marcha un proceso repetible, de propiedad o control técnico para desplegar una solución de prevención de la pérdida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3.14 | Log Sensitive Data Access Ponga en marcha un proceso repetible, de propiedad o control técnico para registrar el acceso de datos sensibles,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1"/>
    <w:bookmarkStart w:id="32" w:name="X5ba1fcc9db7e50e6d8dc42ad38dcd74c5fbb621"/>
    <w:p>
      <w:pPr>
        <w:pStyle w:val="Heading1"/>
      </w:pPr>
      <w:r>
        <w:t xml:space="preserve">9. Control 4 — Configuración segura de activos y software empresarial</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configuración segura de los activos y programas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Ø 4.1 tención Establecer y mantener un proceso de configuración segura ← Poner en marcha un proceso repetible, de propiedad o control técnico para establecer y mantener un proceso de configuración segura,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Ø 4.2 tención Establecer y mantener un proceso de configuración segura para infraestructura de red ← Poner en marcha un proceso repetible, de propiedad o control técnico para establecer y mantener un proceso de configuración segura para infraestructura de red,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4.3 | Configure Automatic Session Locking on Enterprise Assets ← Ponga en marcha un proceso repetible, de propiedad o control técnico para configurar el bloqueo automático de sesión en activos empresariales,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4.4 ← Implementar y administrar un cortafuegos en servidores ← Poner en marcha un proceso repetible, de propiedad o control técnico para implementar y administrar un cortafuegos en servidores,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4.5 ← Implementar y administrar un cortafuegos en dispositivos de usuario final ← Poner en marcha un proceso repetible, de propiedad o control técnico para implementar y administrar un cortafuegos en dispositivos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4.6 | Gestionar de forma segura los activos y el software de la empresa ← Poner en marcha un proceso repetible, propiedad o control técnico para gestionar de forma segura los activos y software de la empresa, a continuación, verificar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4.7 | Manage Default Accounts on Enterprise Assets and Software tención Ponga en marcha un proceso repetible, de propiedad o control técnico para gestionar Cuentas Predeterminadas en Activos y Software Empresarial,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4.8 | Desinstalar o desactivar servicios innecesarios en activos y software de la empresa | Ponga un proceso repetible, propiedad o control técnico en su lugar para desinstalar o desactivar servicios innecesarios en activos y software de la empresa,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4.9 | Configure Trusted DNS Servers on Enterprise Assets tención Ponga en marcha un proceso repetible, de propiedad o control técnico para configurar Trusted DNS Servers on Enterprise Assets,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4.10 Ø Enforce Automatic Device Lockout on Portable End-User Devices Ponga en marcha un proceso repetible, de propiedad o control técnico para hacer cumplir el bloqueo automático de dispositivos en dispositivos portátiles de usuario final,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4.11 | Enforce Remote Wipe Capability on Portable End-User Devices Ponga en marcha un proceso repetible, de propiedad o control técnico para hacer cumplir la Capacidad de Wipe remota en dispositivos portátiles de usuario final, a continuación, verifique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4.12 ← Espacios de trabajo para empresas separadas en dispositivos móviles de usuario final TENIENDO un proceso repetible, de propiedad o control técnico en el lugar para separar espacios de trabajo empresariales en dispositivos móviles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5 - Gestión de Cuentas</w:t>
      </w:r>
    </w:p>
    <w:p>
      <w:pPr>
        <w:pStyle w:val="BodyText"/>
      </w:pPr>
      <w:r>
        <w:rPr>
          <w:iCs/>
          <w:i/>
        </w:rPr>
        <w:t xml:space="preserve">Todas las 6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las cuentas.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5.1</w:t>
            </w:r>
          </w:p>
        </w:tc>
      </w:tr>
      <w:tr>
        <w:tc>
          <w:tcPr/>
          <w:p>
            <w:pPr>
              <w:pStyle w:val="Compact"/>
              <w:jc w:val="left"/>
            </w:pPr>
            <w:r>
              <w:t xml:space="preserve">TEN 5.2</w:t>
            </w:r>
          </w:p>
        </w:tc>
      </w:tr>
      <w:tr>
        <w:tc>
          <w:tcPr/>
          <w:p>
            <w:pPr>
              <w:pStyle w:val="Compact"/>
              <w:jc w:val="left"/>
            </w:pPr>
            <w:r>
              <w:t xml:space="preserve">5.3</w:t>
            </w:r>
          </w:p>
        </w:tc>
      </w:tr>
    </w:tbl>
    <w:p>
      <w:pPr>
        <w:pStyle w:val="BodyText"/>
      </w:pPr>
      <w:r>
        <w:t xml:space="preserve">tención 5.4 Silencioso Administrador de Restricciones Privilegios a Cuentas Administradoras Dedicadas Poner en marcha un proceso repetible, de propiedad o control técnico para restringir los privilegios del Administrador a las Cuentas de Administrador Dedicado, a continuación, verificar la cobertura y las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 5.5 | Establecer y mantener un inventario de cuentas de servicio | Poner en marcha un proceso repetible, propiedad o control técnico para establecer y mantener un inventario de cuentas de servicio,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 5.6 | Centralizar Gestión de Cuentas Poner en marcha un proceso repetible, de propiedad o control técnico para centralizar la gestión de cuentas,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2"/>
    <w:bookmarkStart w:id="33" w:name="control-6-access-control-management"/>
    <w:p>
      <w:pPr>
        <w:pStyle w:val="Heading1"/>
      </w:pPr>
      <w:r>
        <w:t xml:space="preserve">11. Control 6 — Access Control Management</w:t>
      </w:r>
    </w:p>
    <w:p>
      <w:pPr>
        <w:pStyle w:val="FirstParagraph"/>
      </w:pPr>
      <w:r>
        <w:rPr>
          <w:iCs/>
          <w:i/>
        </w:rPr>
        <w:t xml:space="preserve">Las 8 Salvaguardias, significado claro, enfoque de verificación y evidencia de ejemplo</w:t>
      </w:r>
      <w:r>
        <w:t xml:space="preserve">.</w:t>
      </w:r>
    </w:p>
    <w:p>
      <w:pPr>
        <w:pStyle w:val="BodyText"/>
      </w:pPr>
      <w:r>
        <w:t xml:space="preserve">יimg src=</w:t>
      </w:r>
      <w:r>
        <w:t xml:space="preserve">“</w:t>
      </w:r>
      <w:r>
        <w:t xml:space="preserve">media/image6.png</w:t>
      </w:r>
      <w:r>
        <w:t xml:space="preserve">”</w:t>
      </w:r>
      <w:r>
        <w:t xml:space="preserve"> </w:t>
      </w:r>
      <w:r>
        <w:t xml:space="preserve">style=</w:t>
      </w:r>
      <w:r>
        <w:t xml:space="preserve">“</w:t>
      </w:r>
      <w:r>
        <w:t xml:space="preserve">width:6.15in;height:3.03192in</w:t>
      </w:r>
      <w:r>
        <w:t xml:space="preserve">”</w:t>
      </w:r>
      <w:r>
        <w:t xml:space="preserve"> </w:t>
      </w:r>
      <w:r>
        <w:t xml:space="preserve">alt=</w:t>
      </w:r>
      <w:r>
        <w:t xml:space="preserve">“</w:t>
      </w:r>
      <w:r>
        <w:t xml:space="preserve">Las cuentas y privilegios requieren la creación aprobada, la autenticación fuerte, la revisión y la revocación oportuna</w:t>
      </w:r>
      <w:r>
        <w:t xml:space="preserve">”</w:t>
      </w:r>
      <w:r>
        <w:t xml:space="preserve">.</w:t>
      </w:r>
    </w:p>
    <w:p>
      <w:pPr>
        <w:pStyle w:val="BodyText"/>
      </w:pPr>
      <w:r>
        <w:t xml:space="preserve">Gráfico 6 Identidad y acceso ciclo de vida</w:t>
      </w:r>
    </w:p>
    <w:p>
      <w:pPr>
        <w:pStyle w:val="BodyText"/>
      </w:pPr>
      <w:r>
        <w:t xml:space="preserve">** Objetivo de control:** Fortalecer la empresa mediante la aplicación y medición de las salvaguardias para la gestión del control del acceso.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6.1 TEN Establezca un proceso de concesión de acceso</w:t>
            </w:r>
          </w:p>
        </w:tc>
      </w:tr>
      <w:tr>
        <w:tc>
          <w:tcPr/>
          <w:p>
            <w:pPr>
              <w:pStyle w:val="Compact"/>
              <w:jc w:val="left"/>
            </w:pPr>
            <w:r>
              <w:t xml:space="preserve">6.2</w:t>
            </w:r>
          </w:p>
        </w:tc>
      </w:tr>
      <w:tr>
        <w:tc>
          <w:tcPr/>
          <w:p>
            <w:pPr>
              <w:pStyle w:val="Compact"/>
              <w:jc w:val="left"/>
            </w:pPr>
            <w:r>
              <w:t xml:space="preserve">TEN 6.3</w:t>
            </w:r>
          </w:p>
        </w:tc>
      </w:tr>
      <w:tr>
        <w:tc>
          <w:tcPr/>
          <w:p>
            <w:pPr>
              <w:pStyle w:val="Compact"/>
              <w:jc w:val="left"/>
            </w:pPr>
            <w:r>
              <w:t xml:space="preserve">6.4</w:t>
            </w:r>
          </w:p>
        </w:tc>
      </w:tr>
    </w:tbl>
    <w:p>
      <w:pPr>
        <w:pStyle w:val="BodyText"/>
      </w:pPr>
      <w:r>
        <w:t xml:space="preserve">tención 6.5 Silencioso Consultar MFA para el acceso administrativo Poner en marcha un proceso repetible, de propiedad o control técnico para exigir el MFA de Acceso Administrativo,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6.6 | Establecer y mantener un inventario de sistemas de autenticación y autorización | Poner en marcha un proceso repetible, propiedad o control técnico para establecer y mantener un inventario de sistemas de autenticación y autorización,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6.7 | Centralizar control de acceso Ponga en marcha un proceso repetible, de propiedad o control técnico para centralizar el control de acceso,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6.8 | Definir y mantener el control de acceso basado en roles Ponga en marcha un proceso repetible, de propiedad o control técnico para definir y mantener el control de acceso basado en roles, a continuación, verifique la cobertura y las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7 - Gestión continua de la vulnerabilidad</w:t>
      </w:r>
    </w:p>
    <w:p>
      <w:pPr>
        <w:pStyle w:val="BodyText"/>
      </w:pPr>
      <w:r>
        <w:rPr>
          <w:iCs/>
          <w:i/>
        </w:rPr>
        <w:t xml:space="preserve">Las 7 Salvaguardias, significado claro, enfoque de verificación y evidencia de ejemplo</w:t>
      </w:r>
      <w:r>
        <w:t xml:space="preserve">.</w:t>
      </w:r>
    </w:p>
    <w:p>
      <w:pPr>
        <w:pStyle w:val="BodyText"/>
      </w:pPr>
      <w:r>
        <w:t xml:space="preserve">■img src=</w:t>
      </w:r>
      <w:r>
        <w:t xml:space="preserve">“</w:t>
      </w:r>
      <w:r>
        <w:t xml:space="preserve">media/image7.png</w:t>
      </w:r>
      <w:r>
        <w:t xml:space="preserve">”</w:t>
      </w:r>
      <w:r>
        <w:t xml:space="preserve"> </w:t>
      </w:r>
      <w:r>
        <w:t xml:space="preserve">estilo=</w:t>
      </w:r>
      <w:r>
        <w:t xml:space="preserve">“</w:t>
      </w:r>
      <w:r>
        <w:t xml:space="preserve">width:6.15in;height:3.14547in</w:t>
      </w:r>
      <w:r>
        <w:t xml:space="preserve">”</w:t>
      </w:r>
      <w:r>
        <w:t xml:space="preserve"> </w:t>
      </w:r>
      <w:r>
        <w:t xml:space="preserve">alt=</w:t>
      </w:r>
      <w:r>
        <w:t xml:space="preserve">“</w:t>
      </w:r>
      <w:r>
        <w:t xml:space="preserve">Cobertura completa y materia de remediación verificada más que producir informes de escaneo.</w:t>
      </w:r>
      <w:r>
        <w:t xml:space="preserve">”</w:t>
      </w:r>
      <w:r>
        <w:t xml:space="preserve"> </w:t>
      </w:r>
      <w:r>
        <w:t xml:space="preserve">/</w:t>
      </w:r>
    </w:p>
    <w:p>
      <w:pPr>
        <w:pStyle w:val="BodyText"/>
      </w:pPr>
      <w:r>
        <w:t xml:space="preserve">Gráfico 7 Gestión continua de la vulnerabilidad</w:t>
      </w:r>
    </w:p>
    <w:p>
      <w:pPr>
        <w:pStyle w:val="BodyText"/>
      </w:pPr>
      <w:r>
        <w:t xml:space="preserve">** Objetivo de control:** Fortalecer la empresa mediante la aplicación y medición de las salvaguardias para la gestión continua de la vulnerabilidad.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7.4  Perform Automated Application Patch Management Ponga en marcha un proceso repetible, de propiedad o control técnico para realizar Automated Application Patch Management,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tc>
      </w:tr>
      <w:tr>
        <w:tc>
          <w:tcPr/>
          <w:p>
            <w:pPr>
              <w:pStyle w:val="Compact"/>
              <w:jc w:val="left"/>
            </w:pPr>
            <w:r>
              <w:t xml:space="preserve">7.5</w:t>
            </w:r>
          </w:p>
        </w:tc>
      </w:tr>
    </w:tbl>
    <w:p>
      <w:pPr>
        <w:pStyle w:val="BodyText"/>
      </w:pPr>
      <w:r>
        <w:t xml:space="preserve">TEN 7.6 ANTE Perform Automated Vulnerability Scans of Externally-Exposed Enterprise Assets TEN Ponga en marcha un proceso repetible, de propiedad o control técnico para realizar escáneres de vulnerabilidad automatizados de activos de empresas externamente expuestas,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 7.7 | Remediate Detected Vulnerabilities ← Poner en marcha un proceso repetible, de propiedad o control técnico para remediar Vulnerabilidades Detectadas, luego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3"/>
    <w:bookmarkStart w:id="34" w:name="control-8-audit-log-management"/>
    <w:p>
      <w:pPr>
        <w:pStyle w:val="Heading1"/>
      </w:pPr>
      <w:r>
        <w:t xml:space="preserve">13. Control 8 — Audit Log Management</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salvaguardias para la gestión de registros de auditoría.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tención 8.1</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 ← Normalizar la sincronización del tiempo ← Poner en marcha un proceso repetible, de propiedad o control técnico para estandarizar la sincronización del tiempo,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4"/>
    <w:bookmarkStart w:id="35" w:name="X61a6fa901b4cb4af355893d1db14e759896d15a"/>
    <w:p>
      <w:pPr>
        <w:pStyle w:val="Heading1"/>
      </w:pPr>
      <w:r>
        <w:t xml:space="preserve">14. Control 9 - Protección de correo electrónico y navegador web</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las protecciones de correo electrónico y navegador web. |</w:t>
      </w:r>
    </w:p>
    <w:p>
      <w:pPr>
        <w:pStyle w:val="BodyText"/>
      </w:pPr>
      <w:r>
        <w:t xml:space="preserve">Respuesta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9.1 TENCIÓN Asegurar el uso de sólo navegadores completos y clientes de correo electrónico</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TEN 9.5</w:t>
            </w:r>
          </w:p>
        </w:tc>
      </w:tr>
      <w:tr>
        <w:tc>
          <w:tcPr/>
          <w:p>
            <w:pPr>
              <w:pStyle w:val="Compact"/>
              <w:jc w:val="left"/>
            </w:pPr>
            <w:r>
              <w:t xml:space="preserve">TEN 9.6</w:t>
            </w:r>
          </w:p>
        </w:tc>
      </w:tr>
      <w:tr>
        <w:tc>
          <w:tcPr/>
          <w:p>
            <w:pPr>
              <w:pStyle w:val="Compact"/>
              <w:jc w:val="left"/>
            </w:pPr>
            <w:r>
              <w:t xml:space="preserve">9.7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5"/>
    <w:bookmarkStart w:id="36" w:name="control-10-malware-defenses"/>
    <w:p>
      <w:pPr>
        <w:pStyle w:val="Heading1"/>
      </w:pPr>
      <w:r>
        <w:t xml:space="preserve">15. Control 10 — Malware Defenses</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defensas de malware.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10.1</w:t>
            </w:r>
          </w:p>
        </w:tc>
      </w:tr>
      <w:tr>
        <w:tc>
          <w:tcPr/>
          <w:p>
            <w:pPr>
              <w:pStyle w:val="Compact"/>
              <w:jc w:val="left"/>
            </w:pPr>
            <w:r>
              <w:t xml:space="preserve">10.2</w:t>
            </w:r>
          </w:p>
        </w:tc>
      </w:tr>
      <w:tr>
        <w:tc>
          <w:tcPr/>
          <w:p>
            <w:pPr>
              <w:pStyle w:val="Compact"/>
              <w:jc w:val="left"/>
            </w:pPr>
            <w:r>
              <w:t xml:space="preserve">TEN 10.3</w:t>
            </w:r>
          </w:p>
        </w:tc>
      </w:tr>
      <w:tr>
        <w:tc>
          <w:tcPr/>
          <w:p>
            <w:pPr>
              <w:pStyle w:val="Compact"/>
              <w:jc w:val="left"/>
            </w:pPr>
            <w:r>
              <w:t xml:space="preserve">10.4</w:t>
            </w:r>
          </w:p>
        </w:tc>
      </w:tr>
      <w:tr>
        <w:tc>
          <w:tcPr/>
          <w:p>
            <w:pPr>
              <w:pStyle w:val="Compact"/>
              <w:jc w:val="left"/>
            </w:pPr>
            <w:r>
              <w:t xml:space="preserve">10.5</w:t>
            </w:r>
          </w:p>
        </w:tc>
      </w:tr>
      <w:tr>
        <w:tc>
          <w:tcPr/>
          <w:p>
            <w:pPr>
              <w:pStyle w:val="Compact"/>
              <w:jc w:val="left"/>
            </w:pPr>
            <w:r>
              <w:t xml:space="preserve">10.6</w:t>
            </w:r>
          </w:p>
        </w:tc>
      </w:tr>
      <w:tr>
        <w:tc>
          <w:tcPr/>
          <w:p>
            <w:pPr>
              <w:pStyle w:val="Compact"/>
              <w:jc w:val="left"/>
            </w:pPr>
            <w:r>
              <w:t xml:space="preserve">10.7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6"/>
    <w:bookmarkStart w:id="37" w:name="control-11-data-recovery"/>
    <w:p>
      <w:pPr>
        <w:pStyle w:val="Heading1"/>
      </w:pPr>
      <w:r>
        <w:t xml:space="preserve">16. Control 11 — Data Recovery</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salvaguardias para la recuperación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11.3</w:t>
            </w:r>
          </w:p>
        </w:tc>
      </w:tr>
      <w:tr>
        <w:tc>
          <w:tcPr/>
          <w:p>
            <w:pPr>
              <w:pStyle w:val="Compact"/>
              <w:jc w:val="left"/>
            </w:pPr>
            <w:r>
              <w:t xml:space="preserve">TEN 11.4</w:t>
            </w:r>
          </w:p>
        </w:tc>
      </w:tr>
      <w:tr>
        <w:tc>
          <w:tcPr/>
          <w:p>
            <w:pPr>
              <w:pStyle w:val="Compact"/>
              <w:jc w:val="left"/>
            </w:pPr>
            <w:r>
              <w:t xml:space="preserve">TEN 11.5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12 - Gestión de la infraestructura de red</w:t>
      </w:r>
    </w:p>
    <w:p>
      <w:pPr>
        <w:pStyle w:val="BodyText"/>
      </w:pPr>
      <w:r>
        <w:rPr>
          <w:iCs/>
          <w:i/>
        </w:rPr>
        <w:t xml:space="preserve">Las 8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 infraestructura de red. |</w:t>
      </w:r>
    </w:p>
    <w:p>
      <w:pPr>
        <w:pStyle w:val="BodyText"/>
      </w:pPr>
      <w:r>
        <w:t xml:space="preserve">Respuesta</w:t>
      </w:r>
    </w:p>
    <w:p>
      <w:pPr>
        <w:pStyle w:val="BodyText"/>
      </w:pPr>
      <w:r>
        <w:t xml:space="preserve">**** | ** Salvaguardia** |</w:t>
      </w:r>
      <w:r>
        <w:t xml:space="preserve"> </w:t>
      </w:r>
      <w:r>
        <w:rPr>
          <w:bCs/>
          <w:b/>
        </w:rPr>
        <w:t xml:space="preserve">Significado claro</w:t>
      </w:r>
      <w:r>
        <w:t xml:space="preserve"> </w:t>
      </w:r>
      <w:r>
        <w:t xml:space="preserve">| ** Enfoque de la verificación**</w:t>
      </w:r>
    </w:p>
    <w:p>
      <w:pPr>
        <w:pStyle w:val="BodyText"/>
      </w:pPr>
      <w:r>
        <w:t xml:space="preserve">|———————————————————————————————————————————————————————————————————————————————————————————————————————————————————————————————————————————————————————————————————————————————————————————————————————————————————————————————————————————- Enviado |</w:t>
      </w:r>
      <w:r>
        <w:t xml:space="preserve"> </w:t>
      </w:r>
      <w:r>
        <w:t xml:space="preserve">| 12.1 | Garantizar que la infraestructura de red esté actualizada Ponga en marcha un proceso repetible, de propiedad o control técnico para asegurar que la infraestructura de red esté actualizada,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12.2 | Establecer y mantener una arquitectura de red segura ← Poner en marcha un proceso repetible, propiedad o control técnico para establecer y mantener una arquitectura de red segura,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12.3 ← Gestión segura de la infraestructura de red Ponga en marcha un proceso repetible, de propiedad o control técnico para gestionar de forma segura la infraestructura de red,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 |</w:t>
      </w:r>
      <w:r>
        <w:t xml:space="preserve"> </w:t>
      </w:r>
      <w:r>
        <w:t xml:space="preserve">TEN 12.4 | Establecer y mantener los diagramas de arquitectura | Poner en marcha un proceso repetible, propiedad o control técnico para establecer y mantener los diagramas de arquitectura,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12.5 | Centralizar Autenticación, Autorización y Auditoría de la Red | Poner en marcha un proceso repetible, de propiedad o control técnico para centralizar la autenticación, Autorización y Auditoría de la Red,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12.6 | Utilizar protocolos de gestión y comunicación de redes seguras Ponga en marcha un proceso repetible, de propiedad o control técnico para utilizar protocolos de gestión y comunicación de redes seguras,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12.7 | Garantizar dispositivos remotos Utilice una VPN y Enterprise AAA | Ponga en marcha un proceso repetible, de propiedad o control técnico para asegurar dispositivos remotos Use una VPN y Enterprise AAA, a continuación, verifique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12.8 | Mantener los recursos de computación dedicados para el trabajo administrativo Poner en marcha un proceso repetible, de propiedad o control técnico para mantener los Recursos de Computación Dedicada para el Trabajo Administrativo,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7"/>
    <w:bookmarkStart w:id="38" w:name="X70229194786b2abc2dfe755a6454a63b37ad7a9"/>
    <w:p>
      <w:pPr>
        <w:pStyle w:val="Heading1"/>
      </w:pPr>
      <w:r>
        <w:t xml:space="preserve">18. Control 13 — Network Monitoring and Defense</w:t>
      </w:r>
    </w:p>
    <w:p>
      <w:pPr>
        <w:pStyle w:val="FirstParagraph"/>
      </w:pPr>
      <w:r>
        <w:rPr>
          <w:iCs/>
          <w:i/>
        </w:rPr>
        <w:t xml:space="preserve">Todas las 11 Salvaguardias, significado claro, enfoque de verificación y evidencia de ejemplo</w:t>
      </w:r>
      <w:r>
        <w:t xml:space="preserve">.</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width:6.15in;height:3.20094in</w:t>
      </w:r>
      <w:r>
        <w:t xml:space="preserve">”</w:t>
      </w:r>
      <w:r>
        <w:t xml:space="preserve"> </w:t>
      </w:r>
      <w:r>
        <w:t xml:space="preserve">alt=</w:t>
      </w:r>
      <w:r>
        <w:t xml:space="preserve">“</w:t>
      </w:r>
      <w:r>
        <w:t xml:space="preserve">Contexto centralizado, detección sintonizada, investigación humana y respuesta crean defensa útil</w:t>
      </w:r>
      <w:r>
        <w:t xml:space="preserve">”</w:t>
      </w:r>
      <w:r>
        <w:t xml:space="preserve">.</w:t>
      </w:r>
    </w:p>
    <w:p>
      <w:pPr>
        <w:pStyle w:val="BodyText"/>
      </w:pPr>
      <w:r>
        <w:t xml:space="preserve">Figure 8. Monitoring-to-response workflow</w:t>
      </w:r>
    </w:p>
    <w:p>
      <w:pPr>
        <w:pStyle w:val="BodyText"/>
      </w:pPr>
      <w:r>
        <w:t xml:space="preserve">** Objetivo de control:** Fortalecer la empresa mediante la implementación y medición de salvaguardias para el monitoreo y defensa de redes.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13.1</w:t>
            </w:r>
          </w:p>
        </w:tc>
      </w:tr>
      <w:tr>
        <w:tc>
          <w:tcPr/>
          <w:p>
            <w:pPr>
              <w:pStyle w:val="Compact"/>
              <w:jc w:val="left"/>
            </w:pPr>
            <w:r>
              <w:t xml:space="preserve">13.2</w:t>
            </w:r>
          </w:p>
        </w:tc>
      </w:tr>
      <w:tr>
        <w:tc>
          <w:tcPr/>
          <w:p>
            <w:pPr>
              <w:pStyle w:val="Compact"/>
              <w:jc w:val="left"/>
            </w:pPr>
            <w:r>
              <w:t xml:space="preserve">13.3</w:t>
            </w:r>
          </w:p>
        </w:tc>
      </w:tr>
      <w:tr>
        <w:tc>
          <w:tcPr/>
          <w:p>
            <w:pPr>
              <w:pStyle w:val="Compact"/>
              <w:jc w:val="left"/>
            </w:pPr>
            <w:r>
              <w:t xml:space="preserve">13.4</w:t>
            </w:r>
          </w:p>
        </w:tc>
      </w:tr>
      <w:tr>
        <w:tc>
          <w:tcPr/>
          <w:p>
            <w:pPr>
              <w:pStyle w:val="Compact"/>
              <w:jc w:val="left"/>
            </w:pPr>
            <w:r>
              <w:t xml:space="preserve">13.5</w:t>
            </w:r>
          </w:p>
        </w:tc>
      </w:tr>
      <w:tr>
        <w:tc>
          <w:tcPr/>
          <w:p>
            <w:pPr>
              <w:pStyle w:val="Compact"/>
              <w:jc w:val="left"/>
            </w:pPr>
            <w:r>
              <w:t xml:space="preserve">13.6  Collect Network Traffic Flow Logs Ponga en marcha un proceso repetible, de propiedad o control técnico para recoger los Logs de flujo de tráfico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13.7</w:t>
            </w:r>
          </w:p>
        </w:tc>
      </w:tr>
      <w:tr>
        <w:tc>
          <w:tcPr/>
          <w:p>
            <w:pPr>
              <w:pStyle w:val="Compact"/>
              <w:jc w:val="left"/>
            </w:pPr>
            <w:r>
              <w:t xml:space="preserve">13.8</w:t>
            </w:r>
          </w:p>
        </w:tc>
      </w:tr>
      <w:tr>
        <w:tc>
          <w:tcPr/>
          <w:p>
            <w:pPr>
              <w:pStyle w:val="Compact"/>
              <w:jc w:val="left"/>
            </w:pPr>
            <w:r>
              <w:t xml:space="preserve">13.9 Ponga en marcha un proceso repetible, de propiedad o control técnico para desplegar Port-Level Access Control,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13.10</w:t>
            </w:r>
          </w:p>
        </w:tc>
      </w:tr>
      <w:tr>
        <w:tc>
          <w:tcPr/>
          <w:p>
            <w:pPr>
              <w:pStyle w:val="Compact"/>
              <w:jc w:val="left"/>
            </w:pPr>
            <w:r>
              <w:t xml:space="preserve">13.11</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8"/>
    <w:bookmarkStart w:id="39" w:name="X42b99efe6a3de02b879e5b97e2145eff592e532"/>
    <w:p>
      <w:pPr>
        <w:pStyle w:val="Heading1"/>
      </w:pPr>
      <w:r>
        <w:t xml:space="preserve">19. Control 14 - Capacitación en conciencia de seguridad y habilidades</w:t>
      </w:r>
    </w:p>
    <w:p>
      <w:pPr>
        <w:pStyle w:val="FirstParagraph"/>
      </w:pPr>
      <w:r>
        <w:rPr>
          <w:iCs/>
          <w:i/>
        </w:rPr>
        <w:t xml:space="preserve">Las 9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sensibilización en materia de seguridad y la capacitación en aptitudes.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14.1</w:t>
            </w:r>
          </w:p>
        </w:tc>
      </w:tr>
      <w:tr>
        <w:tc>
          <w:tcPr/>
          <w:p>
            <w:pPr>
              <w:pStyle w:val="Compact"/>
              <w:jc w:val="left"/>
            </w:pPr>
            <w:r>
              <w:t xml:space="preserve">14.2</w:t>
            </w:r>
          </w:p>
        </w:tc>
      </w:tr>
      <w:tr>
        <w:tc>
          <w:tcPr/>
          <w:p>
            <w:pPr>
              <w:pStyle w:val="Compact"/>
              <w:jc w:val="left"/>
            </w:pPr>
            <w:r>
              <w:t xml:space="preserve">TEN 14.3</w:t>
            </w:r>
          </w:p>
        </w:tc>
      </w:tr>
      <w:tr>
        <w:tc>
          <w:tcPr/>
          <w:p>
            <w:pPr>
              <w:pStyle w:val="Compact"/>
              <w:jc w:val="left"/>
            </w:pPr>
            <w:r>
              <w:t xml:space="preserve">14.4</w:t>
            </w:r>
          </w:p>
        </w:tc>
      </w:tr>
      <w:tr>
        <w:tc>
          <w:tcPr/>
          <w:p>
            <w:pPr>
              <w:pStyle w:val="Compact"/>
              <w:jc w:val="left"/>
            </w:pPr>
            <w:r>
              <w:t xml:space="preserve">14.5</w:t>
            </w:r>
          </w:p>
        </w:tc>
      </w:tr>
      <w:tr>
        <w:tc>
          <w:tcPr/>
          <w:p>
            <w:pPr>
              <w:pStyle w:val="Compact"/>
              <w:jc w:val="left"/>
            </w:pPr>
            <w:r>
              <w:t xml:space="preserve">14.6</w:t>
            </w:r>
          </w:p>
        </w:tc>
      </w:tr>
      <w:tr>
        <w:tc>
          <w:tcPr/>
          <w:p>
            <w:pPr>
              <w:pStyle w:val="Compact"/>
              <w:jc w:val="left"/>
            </w:pPr>
            <w:r>
              <w:t xml:space="preserve">14.7</w:t>
            </w:r>
          </w:p>
        </w:tc>
      </w:tr>
      <w:tr>
        <w:tc>
          <w:tcPr/>
          <w:p>
            <w:pPr>
              <w:pStyle w:val="Compact"/>
              <w:jc w:val="left"/>
            </w:pPr>
            <w:r>
              <w:t xml:space="preserve">TEN 14.8</w:t>
            </w:r>
          </w:p>
        </w:tc>
      </w:tr>
      <w:tr>
        <w:tc>
          <w:tcPr/>
          <w:p>
            <w:pPr>
              <w:pStyle w:val="Compact"/>
              <w:jc w:val="left"/>
            </w:pPr>
            <w:r>
              <w:t xml:space="preserve">TEN 14.9</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9"/>
    <w:bookmarkStart w:id="40" w:name="control-15-service-provider-management"/>
    <w:p>
      <w:pPr>
        <w:pStyle w:val="Heading1"/>
      </w:pPr>
      <w:r>
        <w:t xml:space="preserve">20. Control 15 — Service Provider Management</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proveedores de servicios.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15.1</w:t>
            </w:r>
          </w:p>
        </w:tc>
      </w:tr>
      <w:tr>
        <w:tc>
          <w:tcPr/>
          <w:p>
            <w:pPr>
              <w:pStyle w:val="Compact"/>
              <w:jc w:val="left"/>
            </w:pPr>
            <w:r>
              <w:t xml:space="preserve">15.2</w:t>
            </w:r>
          </w:p>
        </w:tc>
      </w:tr>
      <w:tr>
        <w:tc>
          <w:tcPr/>
          <w:p>
            <w:pPr>
              <w:pStyle w:val="Compact"/>
              <w:jc w:val="left"/>
            </w:pPr>
            <w:r>
              <w:t xml:space="preserve">15.3 Ponga en marcha un proceso repetible, de propiedad o control técnico para clasificar 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15.4</w:t>
            </w:r>
          </w:p>
        </w:tc>
      </w:tr>
      <w:tr>
        <w:tc>
          <w:tcPr/>
          <w:p>
            <w:pPr>
              <w:pStyle w:val="Compact"/>
              <w:jc w:val="left"/>
            </w:pPr>
            <w:r>
              <w:t xml:space="preserve">15.5 Silenciosos Proveedores de Servicios</w:t>
            </w:r>
          </w:p>
        </w:tc>
      </w:tr>
      <w:tr>
        <w:tc>
          <w:tcPr/>
          <w:p>
            <w:pPr>
              <w:pStyle w:val="Compact"/>
              <w:jc w:val="left"/>
            </w:pPr>
            <w:r>
              <w:t xml:space="preserve">15.6 Poner en marcha un proceso repetible, de propiedad o control técnico para supervisar a los proveedores de servicios, verificar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16 - Seguridad del Software de Aplicación</w:t>
      </w:r>
    </w:p>
    <w:p>
      <w:pPr>
        <w:pStyle w:val="BodyText"/>
      </w:pPr>
      <w:r>
        <w:rPr>
          <w:iCs/>
          <w:i/>
        </w:rPr>
        <w:t xml:space="preserve">Todas las 14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seguridad de los programas de aplicación.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16.1</w:t>
            </w:r>
          </w:p>
        </w:tc>
      </w:tr>
      <w:tr>
        <w:tc>
          <w:tcPr/>
          <w:p>
            <w:pPr>
              <w:pStyle w:val="Compact"/>
              <w:jc w:val="left"/>
            </w:pPr>
            <w:r>
              <w:t xml:space="preserve">16.2</w:t>
            </w:r>
          </w:p>
        </w:tc>
      </w:tr>
      <w:tr>
        <w:tc>
          <w:tcPr/>
          <w:p>
            <w:pPr>
              <w:pStyle w:val="Compact"/>
              <w:jc w:val="left"/>
            </w:pPr>
            <w:r>
              <w:t xml:space="preserve">16.3</w:t>
            </w:r>
          </w:p>
        </w:tc>
      </w:tr>
      <w:tr>
        <w:tc>
          <w:tcPr/>
          <w:p>
            <w:pPr>
              <w:pStyle w:val="Compact"/>
              <w:jc w:val="left"/>
            </w:pPr>
            <w:r>
              <w:t xml:space="preserve">16.4</w:t>
            </w:r>
          </w:p>
        </w:tc>
      </w:tr>
      <w:tr>
        <w:tc>
          <w:tcPr/>
          <w:p>
            <w:pPr>
              <w:pStyle w:val="Compact"/>
              <w:jc w:val="left"/>
            </w:pPr>
            <w:r>
              <w:t xml:space="preserve">16.5 ← Utilizar componentes de software de terceros actualizados y confiados Ponga en marcha un proceso repetible, de propiedad o control técnico para utilizar componentes de software de terceros actualizados y confiados, a continuación, verifique la cobertura y las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w:t>
            </w:r>
          </w:p>
        </w:tc>
      </w:tr>
      <w:tr>
        <w:tc>
          <w:tcPr/>
          <w:p>
            <w:pPr>
              <w:pStyle w:val="Compact"/>
              <w:jc w:val="left"/>
            </w:pPr>
            <w:r>
              <w:t xml:space="preserve">16.6</w:t>
            </w:r>
          </w:p>
        </w:tc>
      </w:tr>
      <w:tr>
        <w:tc>
          <w:tcPr/>
          <w:p>
            <w:pPr>
              <w:pStyle w:val="Compact"/>
              <w:jc w:val="left"/>
            </w:pPr>
            <w:r>
              <w:t xml:space="preserve">TEN 16.7</w:t>
            </w:r>
          </w:p>
        </w:tc>
      </w:tr>
      <w:tr>
        <w:tc>
          <w:tcPr/>
          <w:p>
            <w:pPr>
              <w:pStyle w:val="Compact"/>
              <w:jc w:val="left"/>
            </w:pPr>
            <w:r>
              <w:t xml:space="preserve">16.8</w:t>
            </w:r>
          </w:p>
        </w:tc>
      </w:tr>
      <w:tr>
        <w:tc>
          <w:tcPr/>
          <w:p>
            <w:pPr>
              <w:pStyle w:val="Compact"/>
              <w:jc w:val="left"/>
            </w:pPr>
            <w:r>
              <w:t xml:space="preserve">16.9</w:t>
            </w:r>
          </w:p>
        </w:tc>
      </w:tr>
      <w:tr>
        <w:tc>
          <w:tcPr/>
          <w:p>
            <w:pPr>
              <w:pStyle w:val="Compact"/>
              <w:jc w:val="left"/>
            </w:pPr>
            <w:r>
              <w:t xml:space="preserve">16.10</w:t>
            </w:r>
          </w:p>
        </w:tc>
      </w:tr>
      <w:tr>
        <w:tc>
          <w:tcPr/>
          <w:p>
            <w:pPr>
              <w:pStyle w:val="Compact"/>
              <w:jc w:val="left"/>
            </w:pPr>
            <w:r>
              <w:t xml:space="preserve">TEN 16.11</w:t>
            </w:r>
          </w:p>
        </w:tc>
      </w:tr>
      <w:tr>
        <w:tc>
          <w:tcPr/>
          <w:p>
            <w:pPr>
              <w:pStyle w:val="Compact"/>
              <w:jc w:val="left"/>
            </w:pPr>
            <w:r>
              <w:t xml:space="preserve">16.12</w:t>
            </w:r>
          </w:p>
        </w:tc>
      </w:tr>
      <w:tr>
        <w:tc>
          <w:tcPr/>
          <w:p>
            <w:pPr>
              <w:pStyle w:val="Compact"/>
              <w:jc w:val="left"/>
            </w:pPr>
            <w:r>
              <w:t xml:space="preserve">16.13</w:t>
            </w:r>
          </w:p>
        </w:tc>
      </w:tr>
      <w:tr>
        <w:tc>
          <w:tcPr/>
          <w:p>
            <w:pPr>
              <w:pStyle w:val="Compact"/>
              <w:jc w:val="left"/>
            </w:pPr>
            <w:r>
              <w:t xml:space="preserve">16.14</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17 - Gestión de la respuesta por incidentes</w:t>
      </w:r>
    </w:p>
    <w:p>
      <w:pPr>
        <w:pStyle w:val="BodyText"/>
      </w:pPr>
      <w:r>
        <w:rPr>
          <w:iCs/>
          <w:i/>
        </w:rPr>
        <w:t xml:space="preserve">Las 9 Salvaguardias, significado claro, enfoque de verificación y evidencia de ejemplo</w:t>
      </w:r>
      <w:r>
        <w:t xml:space="preserve">.</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width:6.15in;height:3.12625in</w:t>
      </w:r>
      <w:r>
        <w:t xml:space="preserve">”</w:t>
      </w:r>
      <w:r>
        <w:t xml:space="preserve"> </w:t>
      </w:r>
      <w:r>
        <w:t xml:space="preserve">alt=</w:t>
      </w:r>
      <w:r>
        <w:t xml:space="preserve">“</w:t>
      </w:r>
      <w:r>
        <w:t xml:space="preserve">Los roles preparados, reportando, comunicación, ejercicios y reseñas reducen el impacto del incidente.</w:t>
      </w:r>
      <w:r>
        <w:t xml:space="preserve">”</w:t>
      </w:r>
      <w:r>
        <w:t xml:space="preserve"> </w:t>
      </w:r>
      <w:r>
        <w:t xml:space="preserve">/</w:t>
      </w:r>
    </w:p>
    <w:p>
      <w:pPr>
        <w:pStyle w:val="BodyText"/>
      </w:pPr>
      <w:r>
        <w:t xml:space="preserve">Gráfico 9. Preparación para respuesta a incidentes</w:t>
      </w:r>
    </w:p>
    <w:p>
      <w:pPr>
        <w:pStyle w:val="BodyText"/>
      </w:pPr>
      <w:r>
        <w:t xml:space="preserve">** Objetivo de control:** Fortalecer la empresa mediante la aplicación y medición de salvaguardias para la gestión de la respuesta a incidentes.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17.1</w:t>
            </w:r>
          </w:p>
        </w:tc>
      </w:tr>
      <w:tr>
        <w:tc>
          <w:tcPr/>
          <w:p>
            <w:pPr>
              <w:pStyle w:val="Compact"/>
              <w:jc w:val="left"/>
            </w:pPr>
            <w:r>
              <w:t xml:space="preserve">17.2</w:t>
            </w:r>
          </w:p>
        </w:tc>
      </w:tr>
      <w:tr>
        <w:tc>
          <w:tcPr/>
          <w:p>
            <w:pPr>
              <w:pStyle w:val="Compact"/>
              <w:jc w:val="left"/>
            </w:pPr>
            <w:r>
              <w:t xml:space="preserve">17.3</w:t>
            </w:r>
          </w:p>
        </w:tc>
      </w:tr>
      <w:tr>
        <w:tc>
          <w:tcPr/>
          <w:p>
            <w:pPr>
              <w:pStyle w:val="Compact"/>
              <w:jc w:val="left"/>
            </w:pPr>
            <w:r>
              <w:t xml:space="preserve">TEN 17.4</w:t>
            </w:r>
          </w:p>
        </w:tc>
      </w:tr>
      <w:tr>
        <w:tc>
          <w:tcPr/>
          <w:p>
            <w:pPr>
              <w:pStyle w:val="Compact"/>
              <w:jc w:val="left"/>
            </w:pPr>
            <w:r>
              <w:t xml:space="preserve">TEN 17.5</w:t>
            </w:r>
          </w:p>
        </w:tc>
      </w:tr>
    </w:tbl>
    <w:p>
      <w:pPr>
        <w:pStyle w:val="BodyText"/>
      </w:pPr>
      <w:r>
        <w:t xml:space="preserve">TEN 17.6 ANTERIENTE Definir los mecanismos de comunicación durante la respuesta de incidentes Poner en marcha un proceso repetible, de propiedad o control técnico para definir mecanismos de comunicación durante la respuesta de incidentes, a continuación, verificar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17.7 | Conduct Routine Incident Response Ejercicios Ponga en marcha un proceso repetible, de propiedad o control técnico para realizar ejercicios de respuesta de incidentes de rutina, a continuación, verifique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17.8 | Conducir Reseñas posteriores a incidentes Poner en marcha un proceso repetible, de propiedad o control técnico para llevar a cabo revisiones post-incidente,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17.9 | Establecer y Mantener Umbral de Incidentes de Seguridad | Poner en marcha un proceso repetible, propiedad o control técnico para establecer y mantener Umbrales de Incidentes de Seguridad,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0"/>
    <w:bookmarkStart w:id="66" w:name="control-18-penetration-testing"/>
    <w:p>
      <w:pPr>
        <w:pStyle w:val="Heading1"/>
      </w:pPr>
      <w:r>
        <w:t xml:space="preserve">23. Control 18 — Penetration Testing</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las pruebas de penetración.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18.1</w:t>
            </w:r>
          </w:p>
        </w:tc>
      </w:tr>
      <w:tr>
        <w:tc>
          <w:tcPr/>
          <w:p>
            <w:pPr>
              <w:pStyle w:val="Compact"/>
              <w:jc w:val="left"/>
            </w:pPr>
            <w:r>
              <w:t xml:space="preserve">18.2</w:t>
            </w:r>
          </w:p>
        </w:tc>
      </w:tr>
      <w:tr>
        <w:tc>
          <w:tcPr/>
          <w:p>
            <w:pPr>
              <w:pStyle w:val="Compact"/>
              <w:jc w:val="left"/>
            </w:pPr>
            <w:r>
              <w:t xml:space="preserve">18.3 ← Búsquedas de Penetración Remediar Ponga un proceso repetible, de propiedad o control técnico en su lugar para remediar Penetration Test Findings, a continuación, verificar cobertura y excepciones. tención Confirme alcance definido, población, propiedad, implementación, frecuencia, cobertura, excepciones, corrección y retest. TEN aprobó reglas de compromiso, alcance, testadores cualificados, informes, remediación, pruebas de retest y validación</w:t>
            </w:r>
          </w:p>
        </w:tc>
      </w:tr>
      <w:tr>
        <w:tc>
          <w:tcPr/>
          <w:p>
            <w:pPr>
              <w:pStyle w:val="Compact"/>
              <w:jc w:val="left"/>
            </w:pPr>
            <w:r>
              <w:t xml:space="preserve">18.4 Poner en marcha un proceso repetible, de propiedad o control técnico para validar las medidas de seguridad, verificar la cobertura y las excepciones. tención Confirme alcance definido, población, propiedad, implementación, frecuencia, cobertura, excepciones, corrección y retest. TEN aprobó reglas de compromiso, alcance, testadores cualificados, informes, remediación, pruebas de retest y validación</w:t>
            </w:r>
          </w:p>
        </w:tc>
      </w:tr>
      <w:tr>
        <w:tc>
          <w:tcPr/>
          <w:p>
            <w:pPr>
              <w:pStyle w:val="Compact"/>
              <w:jc w:val="left"/>
            </w:pPr>
            <w:r>
              <w:t xml:space="preserve">18.5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10"/>
        </w:numPr>
        <w:pStyle w:val="Compact"/>
      </w:pPr>
      <w:r>
        <w:t xml:space="preserve">Herramientas de código abierto</w:t>
      </w:r>
    </w:p>
    <w:p>
      <w:pPr>
        <w:numPr>
          <w:ilvl w:val="0"/>
          <w:numId w:val="1011"/>
        </w:numPr>
        <w:pStyle w:val="Compact"/>
      </w:pPr>
      <w:r>
        <w:t xml:space="preserve">Enlaces oficiales, inicios rápidos seguros, pruebas y limitaciones.*</w:t>
      </w:r>
    </w:p>
    <w:p>
      <w:pPr>
        <w:pStyle w:val="FirstParagraph"/>
      </w:pPr>
      <w:r>
        <w:rPr>
          <w:bCs/>
          <w:b/>
        </w:rPr>
        <w:t xml:space="preserve">Herramienta</w:t>
      </w:r>
      <w:r>
        <w:t xml:space="preserve"> </w:t>
      </w:r>
      <w:r>
        <w:t xml:space="preserve">|**</w:t>
      </w:r>
    </w:p>
    <w:p>
      <w:pPr>
        <w:pStyle w:val="BodyText"/>
      </w:pPr>
      <w:r>
        <w:t xml:space="preserve">|——————————————————– La vida—————— |</w:t>
      </w:r>
      <w:r>
        <w:t xml:space="preserve"> </w:t>
      </w:r>
      <w:r>
        <w:t xml:space="preserve">TEN CIS Controls Navigator TEN Seleccionar IGs y explorar asignaciones oficiales TEN TODO |</w:t>
      </w:r>
      <w:r>
        <w:t xml:space="preserve"> </w:t>
      </w:r>
      <w:r>
        <w:t xml:space="preserve">Evaluación de Controles de CIS Especificación ← Orientación oficial de medición</w:t>
      </w:r>
      <w:r>
        <w:t xml:space="preserve"> </w:t>
      </w:r>
      <w:r>
        <w:t xml:space="preserve">| CIS-CAT Lite ← Selected CIS Evaluación de parámetros latitud 4 |</w:t>
      </w:r>
      <w:r>
        <w:t xml:space="preserve"> </w:t>
      </w:r>
      <w:r>
        <w:t xml:space="preserve">| CISO Asistente | Controles, riesgos, pruebas y hallazgos</w:t>
      </w:r>
      <w:r>
        <w:t xml:space="preserve"> </w:t>
      </w:r>
      <w:r>
        <w:t xml:space="preserve">tención Wazuh ← Endpoint monitoring, SIEM, FIM, y alertas</w:t>
      </w:r>
      <w:r>
        <w:t xml:space="preserve"> </w:t>
      </w:r>
      <w:r>
        <w:t xml:space="preserve">TEN Osquery TENRI Asset, software, cuenta y consultas de configuración</w:t>
      </w:r>
      <w:r>
        <w:t xml:space="preserve"> </w:t>
      </w:r>
      <w:r>
        <w:t xml:space="preserve">TEN OpenSCAP | Evaluación de la configuración segura de Linux TEN 4, 7 |</w:t>
      </w:r>
      <w:r>
        <w:t xml:space="preserve"> </w:t>
      </w:r>
      <w:r>
        <w:t xml:space="preserve">| Lynis para la seguridad de Linux auditando | 4, 7 |</w:t>
      </w:r>
      <w:r>
        <w:t xml:space="preserve"> </w:t>
      </w:r>
      <w:r>
        <w:t xml:space="preserve">| Nmap | Autorizado activo y descubrimiento de servicios | 1, 12</w:t>
      </w:r>
      <w:r>
        <w:t xml:space="preserve"> </w:t>
      </w:r>
      <w:r>
        <w:t xml:space="preserve">| Greenbone Community Edition | Vulnerability assessment | 7</w:t>
      </w:r>
      <w:r>
        <w:t xml:space="preserve"> </w:t>
      </w:r>
      <w:r>
        <w:t xml:space="preserve">tención Trivy Silencioso Repositorios, imágenes, dependencias, secretos, y IaC Silencioso 2, 4, 7, 16 |</w:t>
      </w:r>
      <w:r>
        <w:t xml:space="preserve"> </w:t>
      </w:r>
      <w:r>
        <w:t xml:space="preserve">| OWASP ZAP | Pruebas autorizadas de seguridad web</w:t>
      </w:r>
      <w:r>
        <w:t xml:space="preserve"> </w:t>
      </w:r>
      <w:r>
        <w:t xml:space="preserve">| Suricata | Red detección de intrusiones y visibilidad de tráfico | 8, 13, 17 |</w:t>
      </w:r>
      <w:r>
        <w:t xml:space="preserve"> </w:t>
      </w:r>
      <w:r>
        <w:t xml:space="preserve">TENER Keycloak | Identidad, roles, MFA, sesiones y eventos</w:t>
      </w:r>
      <w:r>
        <w:t xml:space="preserve"> </w:t>
      </w:r>
      <w:r>
        <w:t xml:space="preserve">← DefectoDojo tóxico Encontrar la ingesta, la deduplicación, la remediación y la retesta | 7, 16, 18</w:t>
      </w:r>
      <w:r>
        <w:t xml:space="preserve"> </w:t>
      </w:r>
      <w:r>
        <w:t xml:space="preserve">| Velociraptor | Visibilidad de endpoint y respuesta a los incidentes</w:t>
      </w:r>
    </w:p>
    <w:p>
      <w:pPr>
        <w:numPr>
          <w:ilvl w:val="0"/>
          <w:numId w:val="1012"/>
        </w:numPr>
        <w:pStyle w:val="Compact"/>
      </w:pPr>
      <w:r>
        <w:t xml:space="preserve">Limitación crítica* Una herramienta puede apoyar una o más Salvaguardias, pero no puede elegir el IG de la organización, definir la tolerancia al riesgo, garantizar la cobertura completa, reemplazar el procedimiento y la revisión humana, autorizar pruebas de penetración, o probar el cumplimiento de otro marco por sí mismo. |</w:t>
      </w:r>
      <w:r>
        <w:t xml:space="preserve"> </w:t>
      </w:r>
      <w:r>
        <w:t xml:space="preserve">|. |</w:t>
      </w:r>
    </w:p>
    <w:bookmarkStart w:id="41" w:name="cis-controls-navigator"/>
    <w:p>
      <w:pPr>
        <w:pStyle w:val="Heading2"/>
      </w:pPr>
      <w:r>
        <w:t xml:space="preserve">24.1 CIS Controls Navigator</w:t>
      </w:r>
    </w:p>
    <w:p>
      <w:pPr>
        <w:pStyle w:val="FirstParagraph"/>
      </w:pPr>
      <w:r>
        <w:t xml:space="preserve">Propósito: Seleccione IGs y explore mapas oficiales. Proyecto oficial: [ejecutado]CIS Controles Navigator efectuado/u fiel](https://www.cisecurity.org/controls/cis-controls-navigator)</w:t>
      </w:r>
    </w:p>
    <w:p>
      <w:pPr>
        <w:pStyle w:val="BodyText"/>
      </w:pPr>
      <w:r>
        <w:t xml:space="preserve">Inicio rápido seguro: Elija v8.1, seleccione un grupo de implementación y mapeo, revise salvaguardias, luego exporte la selección autorizada.</w:t>
      </w:r>
    </w:p>
    <w:p>
      <w:pPr>
        <w:pStyle w:val="BodyText"/>
      </w:pPr>
      <w:r>
        <w:t xml:space="preserve">Pruebas: alcance aprobado, versión, configuración, cobertura, datos fuente, resultados, examen humano, excepción, remediación y retest. Proteger el acceso administrativo y los datos recogidos.</w:t>
      </w:r>
    </w:p>
    <w:bookmarkEnd w:id="41"/>
    <w:bookmarkStart w:id="43" w:name="cis-controls-assessment-specification"/>
    <w:p>
      <w:pPr>
        <w:pStyle w:val="Heading2"/>
      </w:pPr>
      <w:r>
        <w:t xml:space="preserve">24.2 CIS Controls Assessment Specification</w:t>
      </w:r>
    </w:p>
    <w:p>
      <w:pPr>
        <w:pStyle w:val="FirstParagraph"/>
      </w:pPr>
      <w:r>
        <w:t xml:space="preserve">Objetivo: Orientación oficial de medición. Proyecto oficial: [Seguido]</w:t>
      </w:r>
      <w:r>
        <w:t xml:space="preserve"> </w:t>
      </w:r>
      <w:hyperlink r:id="rId42">
        <w:r>
          <w:rPr>
            <w:rStyle w:val="Hyperlink"/>
          </w:rPr>
          <w:t xml:space="preserve">Según datos</w:t>
        </w:r>
      </w:hyperlink>
    </w:p>
    <w:p>
      <w:pPr>
        <w:pStyle w:val="BodyText"/>
      </w:pPr>
      <w:r>
        <w:t xml:space="preserve">Inicio rápido seguro: Abra una Salvaguardia, identifique los insumos y las suposiciones, siga las operaciones, calcule las medidas y revise el procedimiento de documentos.</w:t>
      </w:r>
    </w:p>
    <w:p>
      <w:pPr>
        <w:pStyle w:val="BodyText"/>
      </w:pPr>
      <w:r>
        <w:t xml:space="preserve">Pruebas: alcance aprobado, versión, configuración, cobertura, datos fuente, resultados, examen humano, excepción, remediación y retest. Proteger el acceso administrativo y los datos recogidos.</w:t>
      </w:r>
    </w:p>
    <w:bookmarkEnd w:id="43"/>
    <w:bookmarkStart w:id="44" w:name="cis-cat-lite"/>
    <w:p>
      <w:pPr>
        <w:pStyle w:val="Heading2"/>
      </w:pPr>
      <w:r>
        <w:t xml:space="preserve">24.3 CIS-CAT Lite</w:t>
      </w:r>
    </w:p>
    <w:p>
      <w:pPr>
        <w:pStyle w:val="FirstParagraph"/>
      </w:pPr>
      <w:r>
        <w:t xml:space="preserve">Propósito: CIS seleccionado Evaluación de parámetros. Proyecto oficial: [Seguido] (https://learn.cisecurity.org/cis-cat-lite)</w:t>
      </w:r>
    </w:p>
    <w:p>
      <w:pPr>
        <w:pStyle w:val="BodyText"/>
      </w:pPr>
      <w:r>
        <w:t xml:space="preserve">Inicio rápido seguro: Ejecutar sólo en sistemas autorizados, elegir un punto de referencia y perfil disponibles, preservar el informe, validar las conclusiones, corregir y reevaluar.</w:t>
      </w:r>
    </w:p>
    <w:p>
      <w:pPr>
        <w:pStyle w:val="BodyText"/>
      </w:pPr>
      <w:r>
        <w:t xml:space="preserve">Pruebas: alcance aprobado, versión, configuración, cobertura, datos fuente, resultados, examen humano, excepción, remediación y retest. Proteger el acceso administrativo y los datos recogidos.</w:t>
      </w:r>
    </w:p>
    <w:bookmarkEnd w:id="44"/>
    <w:bookmarkStart w:id="46" w:name="ciso-assistant"/>
    <w:p>
      <w:pPr>
        <w:pStyle w:val="Heading2"/>
      </w:pPr>
      <w:r>
        <w:t xml:space="preserve">24.4 CISO Assistant</w:t>
      </w:r>
    </w:p>
    <w:p>
      <w:pPr>
        <w:pStyle w:val="FirstParagraph"/>
      </w:pPr>
      <w:r>
        <w:t xml:space="preserve">Propósito: Controles, riesgos, pruebas y hallazgos. Proyecto oficial:</w:t>
      </w:r>
      <w:r>
        <w:t xml:space="preserve"> </w:t>
      </w:r>
      <w:hyperlink r:id="rId45">
        <w:r>
          <w:rPr>
            <w:rStyle w:val="Hyperlink"/>
          </w:rPr>
          <w:t xml:space="preserve">Seguido</w:t>
        </w:r>
      </w:hyperlink>
    </w:p>
    <w:p>
      <w:pPr>
        <w:pStyle w:val="BodyText"/>
      </w:pPr>
      <w:r>
        <w:t xml:space="preserve">Inicio rápido seguro: Crear un proyecto de alcance, cargar un marco aplicable, asignar propietarios, adjuntar evidencia, resultados de seguimiento y permisos de revisión.</w:t>
      </w:r>
    </w:p>
    <w:p>
      <w:pPr>
        <w:pStyle w:val="BodyText"/>
      </w:pPr>
      <w:r>
        <w:t xml:space="preserve">Pruebas: alcance aprobado, versión, configuración, cobertura, datos fuente, resultados, examen humano, excepción, remediación y retest. Proteger el acceso administrativo y los datos recogidos.</w:t>
      </w:r>
    </w:p>
    <w:bookmarkEnd w:id="46"/>
    <w:bookmarkStart w:id="48" w:name="wazuh"/>
    <w:p>
      <w:pPr>
        <w:pStyle w:val="Heading2"/>
      </w:pPr>
      <w:r>
        <w:t xml:space="preserve">24.5 Wazuh</w:t>
      </w:r>
    </w:p>
    <w:p>
      <w:pPr>
        <w:pStyle w:val="FirstParagraph"/>
      </w:pPr>
      <w:r>
        <w:t xml:space="preserve">Propósito: Monitoreo de punto final, SIEM, FIM y alertas. Proyecto oficial:</w:t>
      </w:r>
      <w:r>
        <w:t xml:space="preserve"> </w:t>
      </w:r>
      <w:hyperlink r:id="rId47">
        <w:r>
          <w:rPr>
            <w:rStyle w:val="Hyperlink"/>
          </w:rPr>
          <w:t xml:space="preserve">Seguido</w:t>
        </w:r>
      </w:hyperlink>
    </w:p>
    <w:p>
      <w:pPr>
        <w:pStyle w:val="BodyText"/>
      </w:pPr>
      <w:r>
        <w:t xml:space="preserve">Inicio rápido seguro: Inscribir un punto final de laboratorio, desencadenar un evento seguro, confirmar la recogida y alerta, investigar, y retener la cobertura y la evidencia de respuesta.</w:t>
      </w:r>
    </w:p>
    <w:p>
      <w:pPr>
        <w:pStyle w:val="BodyText"/>
      </w:pPr>
      <w:r>
        <w:t xml:space="preserve">Pruebas: alcance aprobado, versión, configuración, cobertura, datos fuente, resultados, examen humano, excepción, remediación y retest. Proteger el acceso administrativo y los datos recogidos.</w:t>
      </w:r>
    </w:p>
    <w:bookmarkEnd w:id="48"/>
    <w:bookmarkStart w:id="49" w:name="osquery"/>
    <w:p>
      <w:pPr>
        <w:pStyle w:val="Heading2"/>
      </w:pPr>
      <w:r>
        <w:t xml:space="preserve">24.6 osquery</w:t>
      </w:r>
    </w:p>
    <w:p>
      <w:pPr>
        <w:pStyle w:val="FirstParagraph"/>
      </w:pPr>
      <w:r>
        <w:t xml:space="preserve">Propósito: Consultas de activos, software, cuenta y configuración. Proyecto oficial: (https://www.osquery.io/)</w:t>
      </w:r>
    </w:p>
    <w:p>
      <w:pPr>
        <w:pStyle w:val="BodyText"/>
      </w:pPr>
      <w:r>
        <w:t xml:space="preserve">Comienzo rápido seguro: Ejecute consultas sólo de lectura en un laboratorio, programe consultas aprobadas, compare resultados a inventarios, y plataforma de documentos y límites de cobertura.</w:t>
      </w:r>
    </w:p>
    <w:p>
      <w:pPr>
        <w:pStyle w:val="BodyText"/>
      </w:pPr>
      <w:r>
        <w:t xml:space="preserve">Pruebas: alcance aprobado, versión, configuración, cobertura, datos fuente, resultados, examen humano, excepción, remediación y retest. Proteger el acceso administrativo y los datos recogidos.</w:t>
      </w:r>
    </w:p>
    <w:bookmarkEnd w:id="49"/>
    <w:bookmarkStart w:id="51" w:name="openscap"/>
    <w:p>
      <w:pPr>
        <w:pStyle w:val="Heading2"/>
      </w:pPr>
      <w:r>
        <w:t xml:space="preserve">24.7 OpenSCAP</w:t>
      </w:r>
    </w:p>
    <w:p>
      <w:pPr>
        <w:pStyle w:val="FirstParagraph"/>
      </w:pPr>
      <w:r>
        <w:t xml:space="preserve">Objetivo: Evaluación de la configuración segura de Linux. Proyecto oficial:</w:t>
      </w:r>
      <w:r>
        <w:t xml:space="preserve"> </w:t>
      </w:r>
      <w:hyperlink r:id="rId50">
        <w:r>
          <w:rPr>
            <w:rStyle w:val="Hyperlink"/>
          </w:rPr>
          <w:t xml:space="preserve">Seguido</w:t>
        </w:r>
      </w:hyperlink>
    </w:p>
    <w:p>
      <w:pPr>
        <w:pStyle w:val="BodyText"/>
      </w:pPr>
      <w:r>
        <w:t xml:space="preserve">Inicio rápido seguro: Elija un perfil apropiado, escanear un sistema de laboratorio, validar resultados, excepciones de documentos,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51"/>
    <w:bookmarkStart w:id="53" w:name="lynis"/>
    <w:p>
      <w:pPr>
        <w:pStyle w:val="Heading2"/>
      </w:pPr>
      <w:r>
        <w:t xml:space="preserve">24.8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Comenzar rápido seguro: auditar un host de laboratorio, revisar los hallazgos contra el alcance y las normas, asignar acciones, corregir elementos seleccionados y repetir.</w:t>
      </w:r>
    </w:p>
    <w:p>
      <w:pPr>
        <w:pStyle w:val="BodyText"/>
      </w:pPr>
      <w:r>
        <w:t xml:space="preserve">Pruebas: alcance aprobado, versión, configuración, cobertura, datos fuente, resultados, examen humano, excepción, remediación y retest. Proteger el acceso administrativo y los datos recogidos.</w:t>
      </w:r>
    </w:p>
    <w:bookmarkEnd w:id="53"/>
    <w:bookmarkStart w:id="55" w:name="nmap"/>
    <w:p>
      <w:pPr>
        <w:pStyle w:val="Heading2"/>
      </w:pPr>
      <w:r>
        <w:t xml:space="preserve">24.9 Nmap</w:t>
      </w:r>
    </w:p>
    <w:p>
      <w:pPr>
        <w:pStyle w:val="FirstParagraph"/>
      </w:pPr>
      <w:r>
        <w:t xml:space="preserve">Propósito: Activo autorizado y descubrimiento de servicios. Proyecto oficial:</w:t>
      </w:r>
      <w:r>
        <w:t xml:space="preserve"> </w:t>
      </w:r>
      <w:hyperlink r:id="rId54">
        <w:r>
          <w:rPr>
            <w:rStyle w:val="Hyperlink"/>
          </w:rPr>
          <w:t xml:space="preserve">Seguido</w:t>
        </w:r>
      </w:hyperlink>
    </w:p>
    <w:p>
      <w:pPr>
        <w:pStyle w:val="BodyText"/>
      </w:pPr>
      <w:r>
        <w:t xml:space="preserve">Inicio rápido seguro: Usar un escaneo limitado en rangos escritos, comparar con inventario, investigar servicios desconocidos, y retener el alcance y la evidencia de comando.</w:t>
      </w:r>
    </w:p>
    <w:p>
      <w:pPr>
        <w:pStyle w:val="BodyText"/>
      </w:pPr>
      <w:r>
        <w:t xml:space="preserve">Pruebas: alcance aprobado, versión, configuración, cobertura, datos fuente, resultados, examen humano, excepción, remediación y retest. Proteger el acceso administrativo y los datos recogidos.</w:t>
      </w:r>
    </w:p>
    <w:bookmarkEnd w:id="55"/>
    <w:bookmarkStart w:id="56" w:name="greenbone-community-edition"/>
    <w:p>
      <w:pPr>
        <w:pStyle w:val="Heading2"/>
      </w:pPr>
      <w:r>
        <w:t xml:space="preserve">24.10 Greenbone Community Edition</w:t>
      </w:r>
    </w:p>
    <w:p>
      <w:pPr>
        <w:pStyle w:val="FirstParagraph"/>
      </w:pPr>
      <w:r>
        <w:t xml:space="preserve">Objetivo: Evaluación de la vulnerabilidad. Proyecto oficial: [ejecutado]Greenbone Community Edition (10)(https://greenbone.github.io/docs/latest/)</w:t>
      </w:r>
    </w:p>
    <w:p>
      <w:pPr>
        <w:pStyle w:val="BodyText"/>
      </w:pPr>
      <w:r>
        <w:t xml:space="preserve">Inicio rápido seguro: Actualizar los alimentos, utilizar los objetivos autorizados y las credenciales, validar la cobertura de activos, revisar las conclusiones,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56"/>
    <w:bookmarkStart w:id="57" w:name="trivy"/>
    <w:p>
      <w:pPr>
        <w:pStyle w:val="Heading2"/>
      </w:pPr>
      <w:r>
        <w:t xml:space="preserve">24.11 Trivy</w:t>
      </w:r>
    </w:p>
    <w:p>
      <w:pPr>
        <w:pStyle w:val="FirstParagraph"/>
      </w:pPr>
      <w:r>
        <w:t xml:space="preserve">Propósito: Repositorios, imágenes, dependencias, secretos e IaC. Proyecto oficial: [ejecutado]Trivy seleccionado/u fiel](https://trivy.dev/)</w:t>
      </w:r>
    </w:p>
    <w:p>
      <w:pPr>
        <w:pStyle w:val="BodyText"/>
      </w:pPr>
      <w:r>
        <w:t xml:space="preserve">Inicio rápido seguro: Escanear un repositorio de prueba o imagen, validar hallazgos, documentar excepciones justificadas, fijar y rescan en el oleoducto.</w:t>
      </w:r>
    </w:p>
    <w:p>
      <w:pPr>
        <w:pStyle w:val="BodyText"/>
      </w:pPr>
      <w:r>
        <w:t xml:space="preserve">Pruebas: alcance aprobado, versión, configuración, cobertura, datos fuente, resultados, examen humano, excepción, remediación y retest. Proteger el acceso administrativo y los datos recogidos.</w:t>
      </w:r>
    </w:p>
    <w:bookmarkEnd w:id="57"/>
    <w:bookmarkStart w:id="58" w:name="owasp-zap"/>
    <w:p>
      <w:pPr>
        <w:pStyle w:val="Heading2"/>
      </w:pPr>
      <w:r>
        <w:t xml:space="preserve">24.12 OWASP ZAP</w:t>
      </w:r>
    </w:p>
    <w:p>
      <w:pPr>
        <w:pStyle w:val="FirstParagraph"/>
      </w:pPr>
      <w:r>
        <w:t xml:space="preserve">Propósito: Pruebas de seguridad web autorizadas. Proyecto oficial: [Seguido] (https://www.zaproxy.org/)</w:t>
      </w:r>
    </w:p>
    <w:p>
      <w:pPr>
        <w:pStyle w:val="BodyText"/>
      </w:pPr>
      <w:r>
        <w:t xml:space="preserve">Comenzar rápido seguro: Proxy una aplicación de entrenamiento, arrastrar pasivamente, utilizar el escaneo activo sólo con aprobación, validar hallazgos, correcto y retest.</w:t>
      </w:r>
    </w:p>
    <w:p>
      <w:pPr>
        <w:pStyle w:val="BodyText"/>
      </w:pPr>
      <w:r>
        <w:t xml:space="preserve">Pruebas: alcance aprobado, versión, configuración, cobertura, datos fuente, resultados, examen humano, excepción, remediación y retest. Proteger el acceso administrativo y los datos recogidos.</w:t>
      </w:r>
    </w:p>
    <w:bookmarkEnd w:id="58"/>
    <w:bookmarkStart w:id="59" w:name="suricata"/>
    <w:p>
      <w:pPr>
        <w:pStyle w:val="Heading2"/>
      </w:pPr>
      <w:r>
        <w:t xml:space="preserve">24.13 Suricata</w:t>
      </w:r>
    </w:p>
    <w:p>
      <w:pPr>
        <w:pStyle w:val="FirstParagraph"/>
      </w:pPr>
      <w:r>
        <w:t xml:space="preserve">Propósito: detección de intrusión en red y visibilidad del tráfico. Proyecto oficial: [Seguido] [https://suricata.io/]</w:t>
      </w:r>
    </w:p>
    <w:p>
      <w:pPr>
        <w:pStyle w:val="BodyText"/>
      </w:pPr>
      <w:r>
        <w:t xml:space="preserve">Inicio rápido seguro: Use un sensor de laboratorio, confirme la interfaz y las reglas, genere tráfico de prueba aprobado, valide alertas, sintonice cuidadosamente, y preserve la historia del cambio.</w:t>
      </w:r>
    </w:p>
    <w:p>
      <w:pPr>
        <w:pStyle w:val="BodyText"/>
      </w:pPr>
      <w:r>
        <w:t xml:space="preserve">Pruebas: alcance aprobado, versión, configuración, cobertura, datos fuente, resultados, examen humano, excepción, remediación y retest. Proteger el acceso administrativo y los datos recogidos.</w:t>
      </w:r>
    </w:p>
    <w:bookmarkEnd w:id="59"/>
    <w:bookmarkStart w:id="61" w:name="keycloak"/>
    <w:p>
      <w:pPr>
        <w:pStyle w:val="Heading2"/>
      </w:pPr>
      <w:r>
        <w:t xml:space="preserve">24.14 Keycloak</w:t>
      </w:r>
    </w:p>
    <w:p>
      <w:pPr>
        <w:pStyle w:val="FirstParagraph"/>
      </w:pPr>
      <w:r>
        <w:t xml:space="preserve">Propósito: Identidad, roles, MFA, sesiones y eventos. Proyecto oficial:</w:t>
      </w:r>
      <w:r>
        <w:t xml:space="preserve"> </w:t>
      </w:r>
      <w:hyperlink r:id="rId60">
        <w:r>
          <w:rPr>
            <w:rStyle w:val="Hyperlink"/>
          </w:rPr>
          <w:t xml:space="preserve">Seguido</w:t>
        </w:r>
      </w:hyperlink>
    </w:p>
    <w:p>
      <w:pPr>
        <w:pStyle w:val="BodyText"/>
      </w:pPr>
      <w:r>
        <w:t xml:space="preserve">Comenzar rápido seguro: Crear un reino de laboratorio, roles y MFA, probar casos de compás, revisar eventos y configuración de documentos y resultados.</w:t>
      </w:r>
    </w:p>
    <w:p>
      <w:pPr>
        <w:pStyle w:val="BodyText"/>
      </w:pPr>
      <w:r>
        <w:t xml:space="preserve">Pruebas: alcance aprobado, versión, configuración, cobertura, datos fuente, resultados, examen humano, excepción, remediación y retest. Proteger el acceso administrativo y los datos recogidos.</w:t>
      </w:r>
    </w:p>
    <w:bookmarkEnd w:id="61"/>
    <w:bookmarkStart w:id="63" w:name="defectodojo"/>
    <w:p>
      <w:pPr>
        <w:pStyle w:val="Heading2"/>
      </w:pPr>
      <w:r>
        <w:t xml:space="preserve">24.15 DefectoDojo</w:t>
      </w:r>
    </w:p>
    <w:p>
      <w:pPr>
        <w:pStyle w:val="FirstParagraph"/>
      </w:pPr>
      <w:r>
        <w:t xml:space="preserve">Propósito: Encontrar ingesta, deduplicación, remediación y retest. Proyecto oficial:</w:t>
      </w:r>
      <w:r>
        <w:t xml:space="preserve"> </w:t>
      </w:r>
      <w:hyperlink r:id="rId62">
        <w:r>
          <w:rPr>
            <w:rStyle w:val="Hyperlink"/>
          </w:rPr>
          <w:t xml:space="preserve">Seguido</w:t>
        </w:r>
      </w:hyperlink>
    </w:p>
    <w:p>
      <w:pPr>
        <w:pStyle w:val="BodyText"/>
      </w:pPr>
      <w:r>
        <w:t xml:space="preserve">Comienzo rápido seguro: Importar resultados seguros, validar la deduplicación, asignar propietarios y fechas, adjuntar prueba, y cerrar sólo después de la prueba verificada.</w:t>
      </w:r>
    </w:p>
    <w:p>
      <w:pPr>
        <w:pStyle w:val="BodyText"/>
      </w:pPr>
      <w:r>
        <w:t xml:space="preserve">Pruebas: alcance aprobado, versión, configuración, cobertura, datos fuente, resultados, examen humano, excepción, remediación y retest. Proteger el acceso administrativo y los datos recogidos.</w:t>
      </w:r>
    </w:p>
    <w:bookmarkEnd w:id="63"/>
    <w:bookmarkStart w:id="65" w:name="velociraptor"/>
    <w:p>
      <w:pPr>
        <w:pStyle w:val="Heading2"/>
      </w:pPr>
      <w:r>
        <w:t xml:space="preserve">24.16 Velociraptor</w:t>
      </w:r>
    </w:p>
    <w:p>
      <w:pPr>
        <w:pStyle w:val="FirstParagraph"/>
      </w:pPr>
      <w:r>
        <w:t xml:space="preserve">Finalidad: visibilidad y respuesta a incidentes. Proyecto oficial:</w:t>
      </w:r>
      <w:r>
        <w:t xml:space="preserve"> </w:t>
      </w:r>
      <w:hyperlink r:id="rId64">
        <w:r>
          <w:rPr>
            <w:rStyle w:val="Hyperlink"/>
          </w:rPr>
          <w:t xml:space="preserve">Seguido</w:t>
        </w:r>
      </w:hyperlink>
    </w:p>
    <w:p>
      <w:pPr>
        <w:pStyle w:val="BodyText"/>
      </w:pPr>
      <w:r>
        <w:t xml:space="preserve">Inicio rápido seguro: Despliegue sólo en un laboratorio autorizado aislado, recoja un artefacto estrecho, alcance de documentos y acceso, investigue los resultados y retire los datos del laboratorio con seguridad.</w:t>
      </w:r>
    </w:p>
    <w:p>
      <w:pPr>
        <w:pStyle w:val="BodyText"/>
      </w:pPr>
      <w:r>
        <w:t xml:space="preserve">Pruebas: alcance aprobado, versión, configuración, cobertura, datos fuente, resultados, examen humano, excepción, remediación y retest. Proteger el acceso administrativo y los datos recogidos.</w:t>
      </w:r>
    </w:p>
    <w:bookmarkEnd w:id="65"/>
    <w:bookmarkEnd w:id="66"/>
    <w:bookmarkStart w:id="67" w:name="Xbc4a4dbf2d9ff0eb677f14739cf1d43ac88337f"/>
    <w:p>
      <w:pPr>
        <w:pStyle w:val="Heading1"/>
      </w:pPr>
      <w:r>
        <w:t xml:space="preserve">25. Manual de los Controles CIS para gerentes</w:t>
      </w:r>
    </w:p>
    <w:p>
      <w:pPr>
        <w:pStyle w:val="FirstParagraph"/>
      </w:pPr>
      <w:r>
        <w:rPr>
          <w:iCs/>
          <w:i/>
        </w:rPr>
        <w:t xml:space="preserve">Las preguntas, el tablero, la propiedad y los administradores de decisiones deben controlar.</w:t>
      </w:r>
    </w:p>
    <w:p>
      <w:pPr>
        <w:numPr>
          <w:ilvl w:val="0"/>
          <w:numId w:val="1013"/>
        </w:numPr>
      </w:pPr>
      <w:r>
        <w:t xml:space="preserve">¿El IG elegido sigue siendo apropiado para datos sensibles, servicios críticos, exposición a amenazas, obligaciones, escala y habilidades?</w:t>
      </w:r>
    </w:p>
    <w:p>
      <w:pPr>
        <w:numPr>
          <w:ilvl w:val="0"/>
          <w:numId w:val="1013"/>
        </w:numPr>
      </w:pPr>
      <w:r>
        <w:t xml:space="preserve">¿Están las poblaciones centrales completas, actuales, de propiedad y reconciliadas con el descubrimiento independiente?</w:t>
      </w:r>
    </w:p>
    <w:p>
      <w:pPr>
        <w:numPr>
          <w:ilvl w:val="0"/>
          <w:numId w:val="1013"/>
        </w:numPr>
      </w:pPr>
      <w:r>
        <w:t xml:space="preserve">¿Qué Salvaguardias IG1 tienen cobertura incompleta, revisión atrasada, datos de entrada no fiables o excepciones de repetición?</w:t>
      </w:r>
    </w:p>
    <w:p>
      <w:pPr>
        <w:numPr>
          <w:ilvl w:val="0"/>
          <w:numId w:val="1013"/>
        </w:numPr>
      </w:pPr>
      <w:r>
        <w:t xml:space="preserve">¿Se han intensificado los accesos administrativos, los sistemas expuestos externamente, los programas informáticos no respaldados, las vulnerabilidades críticas y los fallos de recuperación?</w:t>
      </w:r>
    </w:p>
    <w:p>
      <w:pPr>
        <w:numPr>
          <w:ilvl w:val="0"/>
          <w:numId w:val="1013"/>
        </w:numPr>
      </w:pPr>
      <w:r>
        <w:t xml:space="preserve">¿Las alertas resultan en investigación y respuesta, o sólo en el volumen de panel?</w:t>
      </w:r>
    </w:p>
    <w:p>
      <w:pPr>
        <w:numPr>
          <w:ilvl w:val="0"/>
          <w:numId w:val="1013"/>
        </w:numPr>
      </w:pPr>
      <w:r>
        <w:t xml:space="preserve">¿Se entienden las responsabilidades de los proveedores de servicios, las pruebas, las obligaciones de incidentes, los subcontratistas y los planes de salida?</w:t>
      </w:r>
    </w:p>
    <w:p>
      <w:pPr>
        <w:numPr>
          <w:ilvl w:val="0"/>
          <w:numId w:val="1013"/>
        </w:numPr>
      </w:pPr>
      <w:r>
        <w:t xml:space="preserve">¿Se autorizan pruebas de penetración y ejercicios de forma segura, con un alcance adecuado, realizados independientemente cuando sea necesario y seguidos a través de la prueba?</w:t>
      </w:r>
    </w:p>
    <w:p>
      <w:pPr>
        <w:numPr>
          <w:ilvl w:val="0"/>
          <w:numId w:val="1013"/>
        </w:numPr>
      </w:pPr>
      <w:r>
        <w:t xml:space="preserve">¿Qué financiación, personal, tiempo de ingeniería o decisión empresarial está bloqueando la corrección?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r>
        <w:tc>
          <w:tcPr/>
          <w:p>
            <w:pPr>
              <w:pStyle w:val="Compact"/>
              <w:jc w:val="left"/>
            </w:pPr>
            <w:r>
              <w:t xml:space="preserve">IG y alcance</w:t>
            </w:r>
          </w:p>
        </w:tc>
      </w:tr>
      <w:tr>
        <w:tc>
          <w:tcPr/>
          <w:p>
            <w:pPr>
              <w:pStyle w:val="Compact"/>
              <w:jc w:val="left"/>
            </w:pPr>
            <w:r>
              <w:t xml:space="preserve">← Inventories</w:t>
            </w:r>
          </w:p>
        </w:tc>
      </w:tr>
    </w:tbl>
    <w:p>
      <w:pPr>
        <w:pStyle w:val="BodyText"/>
      </w:pPr>
      <w:r>
        <w:t xml:space="preserve">TEN Protection TEN ¿Operan la configuración, el acceso, el parche, el correo electrónico, el malware y los controles de datos? Verde / Amarillo / Rojo</w:t>
      </w:r>
      <w:r>
        <w:t xml:space="preserve"> </w:t>
      </w:r>
      <w:r>
        <w:t xml:space="preserve">| Detección | ¿Se ha completado la cobertura de registro y red y se han revisado las alertas? Verde / Amarillo / Rojo</w:t>
      </w:r>
      <w:r>
        <w:t xml:space="preserve"> </w:t>
      </w:r>
      <w:r>
        <w:t xml:space="preserve">← Recuperación | ¿Están protegidos copias de seguridad y restauraciones probadas contra las necesidades de negocio? Verde / Amarillo / Rojo</w:t>
      </w:r>
      <w:r>
        <w:t xml:space="preserve"> </w:t>
      </w:r>
      <w:r>
        <w:t xml:space="preserve">| Respuesta | ¿Son los roles, contactos, umbrales, ejercicios y revisiones actuales? Verde / Amarillo / Rojo</w:t>
      </w:r>
      <w:r>
        <w:t xml:space="preserve"> </w:t>
      </w:r>
      <w:r>
        <w:t xml:space="preserve">TENED ¿Se corrigieron las poblaciones confiables y de excepción? Verde / Amarillo / Rojo</w:t>
      </w:r>
      <w:r>
        <w:t xml:space="preserve"> </w:t>
      </w:r>
      <w:r>
        <w:t xml:space="preserve">¿Son compatibles las pruebas, limitaciones, hallazgos y pruebas? Verde / Amarillo / Rojo</w:t>
      </w:r>
    </w:p>
    <w:bookmarkEnd w:id="67"/>
    <w:bookmarkStart w:id="69" w:name="junior-analyst-career-guide"/>
    <w:p>
      <w:pPr>
        <w:pStyle w:val="Heading1"/>
      </w:pPr>
      <w:r>
        <w:t xml:space="preserve">26. Junior Analyst Career Guide</w:t>
      </w:r>
    </w:p>
    <w:p>
      <w:pPr>
        <w:pStyle w:val="FirstParagraph"/>
      </w:pPr>
      <w:r>
        <w:rPr>
          <w:iCs/>
          <w:i/>
        </w:rPr>
        <w:t xml:space="preserve">Una ruta práctica en controles, vulnerabilidad, seguridad, GRC y operaciones de seguridad funcionan.</w:t>
      </w:r>
    </w:p>
    <w:p>
      <w:pPr>
        <w:pStyle w:val="BodyText"/>
      </w:pPr>
      <w:r>
        <w:t xml:space="preserve">■img src=</w:t>
      </w:r>
      <w:r>
        <w:t xml:space="preserve">“</w:t>
      </w:r>
      <w:r>
        <w:t xml:space="preserve">media/image10.png</w:t>
      </w:r>
      <w:r>
        <w:t xml:space="preserve">”</w:t>
      </w:r>
      <w:r>
        <w:t xml:space="preserve"> </w:t>
      </w:r>
      <w:r>
        <w:t xml:space="preserve">style=</w:t>
      </w:r>
      <w:r>
        <w:t xml:space="preserve">“</w:t>
      </w:r>
      <w:r>
        <w:t xml:space="preserve">width:6.15in;height:2.99481in</w:t>
      </w:r>
      <w:r>
        <w:t xml:space="preserve">”</w:t>
      </w:r>
      <w:r>
        <w:t xml:space="preserve"> </w:t>
      </w:r>
      <w:r>
        <w:t xml:space="preserve">alt=</w:t>
      </w:r>
      <w:r>
        <w:t xml:space="preserve">“</w:t>
      </w:r>
      <w:r>
        <w:t xml:space="preserve">Aprende el marco, mapa Salvaguardias, mide evidencia, reporte lagunas, y construya un portafolio honesto</w:t>
      </w:r>
      <w:r>
        <w:t xml:space="preserve">”</w:t>
      </w:r>
      <w:r>
        <w:t xml:space="preserve">.</w:t>
      </w:r>
    </w:p>
    <w:p>
      <w:pPr>
        <w:pStyle w:val="BodyText"/>
      </w:pPr>
      <w:r>
        <w:t xml:space="preserve">Gráfico 10 Junior CIS Controles vía analista</w:t>
      </w:r>
    </w:p>
    <w:p>
      <w:pPr>
        <w:pStyle w:val="BodyText"/>
      </w:pPr>
      <w:r>
        <w:t xml:space="preserve">Controles de Seguridad Junior Analista</w:t>
      </w:r>
    </w:p>
    <w:p>
      <w:pPr>
        <w:pStyle w:val="BodyText"/>
      </w:pPr>
      <w:r>
        <w:t xml:space="preserve">GRC Analista</w:t>
      </w:r>
    </w:p>
    <w:p>
      <w:pPr>
        <w:pStyle w:val="BodyText"/>
      </w:pPr>
      <w:r>
        <w:t xml:space="preserve">Analista de Gestión de Vulnerabilidad</w:t>
      </w:r>
    </w:p>
    <w:p>
      <w:pPr>
        <w:pStyle w:val="BodyText"/>
      </w:pPr>
      <w:r>
        <w:t xml:space="preserve">Análisis de la seguridad</w:t>
      </w:r>
    </w:p>
    <w:p>
      <w:pPr>
        <w:pStyle w:val="BodyText"/>
      </w:pPr>
      <w:r>
        <w:t xml:space="preserve">Análisis de las operaciones de seguridad</w:t>
      </w:r>
    </w:p>
    <w:p>
      <w:pPr>
        <w:pStyle w:val="BodyText"/>
      </w:pPr>
      <w:r>
        <w:t xml:space="preserve">Analista de Cumplimiento de TI</w:t>
      </w:r>
    </w:p>
    <w:p>
      <w:pPr>
        <w:pStyle w:val="BodyText"/>
      </w:pPr>
      <w:r>
        <w:t xml:space="preserve">Third-Party Risk Analyst</w:t>
      </w:r>
    </w:p>
    <w:p>
      <w:pPr>
        <w:pStyle w:val="BodyText"/>
      </w:pPr>
      <w:r>
        <w:t xml:space="preserve">Cybersecurity Program Analyst</w:t>
      </w:r>
    </w:p>
    <w:bookmarkStart w:id="68" w:name="típico-trabajo-junior"/>
    <w:p>
      <w:pPr>
        <w:pStyle w:val="Heading2"/>
      </w:pPr>
      <w:r>
        <w:t xml:space="preserve">26.1 Típico trabajo junior</w:t>
      </w:r>
    </w:p>
    <w:p>
      <w:pPr>
        <w:numPr>
          <w:ilvl w:val="0"/>
          <w:numId w:val="1014"/>
        </w:numPr>
      </w:pPr>
      <w:r>
        <w:t xml:space="preserve">Mantener inventarios de activos, software, datos, cuentas, sistemas de red, proveedores, aplicaciones, hallazgos y pruebas.</w:t>
      </w:r>
    </w:p>
    <w:p>
      <w:pPr>
        <w:numPr>
          <w:ilvl w:val="0"/>
          <w:numId w:val="1014"/>
        </w:numPr>
      </w:pPr>
      <w:r>
        <w:t xml:space="preserve">Reunir pruebas sin cambiar los registros de fuentes y validar la integridad de la población.</w:t>
      </w:r>
    </w:p>
    <w:p>
      <w:pPr>
        <w:numPr>
          <w:ilvl w:val="0"/>
          <w:numId w:val="1014"/>
        </w:numPr>
      </w:pPr>
      <w:r>
        <w:t xml:space="preserve">Mapa Salvaguardias a propietarios, sistemas, procedimientos, configuración, evidencia, métricas, excepciones y acciones.</w:t>
      </w:r>
    </w:p>
    <w:p>
      <w:pPr>
        <w:numPr>
          <w:ilvl w:val="0"/>
          <w:numId w:val="1014"/>
        </w:numPr>
      </w:pPr>
      <w:r>
        <w:t xml:space="preserve">Ejecute las herramientas autorizadas de descubrimiento, configuración, vulnerabilidad, registro o seguridad de aplicaciones bajo procedimientos aprobados.</w:t>
      </w:r>
    </w:p>
    <w:p>
      <w:pPr>
        <w:numPr>
          <w:ilvl w:val="0"/>
          <w:numId w:val="1014"/>
        </w:numPr>
      </w:pPr>
      <w:r>
        <w:t xml:space="preserve">Calcular la cobertura y las métricas de excepción utilizando la estructura de evaluación oficial.</w:t>
      </w:r>
    </w:p>
    <w:p>
      <w:pPr>
        <w:numPr>
          <w:ilvl w:val="0"/>
          <w:numId w:val="1014"/>
        </w:numPr>
      </w:pPr>
      <w:r>
        <w:t xml:space="preserve">Seguimiento de software no compatible, activos no autorizados, problemas de acceso, vulnerabilidades, copias de seguridad fallidas, lagunas de alerta y hallazgos de proveedores a través de la prueba.</w:t>
      </w:r>
    </w:p>
    <w:p>
      <w:pPr>
        <w:numPr>
          <w:ilvl w:val="0"/>
          <w:numId w:val="1014"/>
        </w:numPr>
      </w:pPr>
      <w:r>
        <w:t xml:space="preserve">Escribir conclusiones claras sin reclamar autoridad o certeza más allá de las pruebas.</w:t>
      </w:r>
    </w:p>
    <w:p>
      <w:pPr>
        <w:pStyle w:val="FirstParagraph"/>
      </w:pPr>
      <w:r>
        <w:t xml:space="preserve">Silencioso**</w:t>
      </w:r>
      <w:r>
        <w:t xml:space="preserve"> </w:t>
      </w:r>
      <w:r>
        <w:t xml:space="preserve">|… |</w:t>
      </w:r>
      <w:r>
        <w:t xml:space="preserve"> </w:t>
      </w:r>
      <w:r>
        <w:t xml:space="preserve">| Marco | Explicar los 18 Controles, IGs, clases de activos y funciones |</w:t>
      </w:r>
      <w:r>
        <w:t xml:space="preserve"> </w:t>
      </w:r>
      <w:r>
        <w:t xml:space="preserve">| Inventario | Reconcile dos fuentes independientes y explicar las diferencias</w:t>
      </w:r>
      <w:r>
        <w:t xml:space="preserve"> </w:t>
      </w:r>
      <w:r>
        <w:t xml:space="preserve">TENEDO | Mostrar insumos, operaciones, medidas, métrica, lista de excepciones y conclusión |</w:t>
      </w:r>
      <w:r>
        <w:t xml:space="preserve"> </w:t>
      </w:r>
      <w:r>
        <w:t xml:space="preserve">← Alfabetización técnica | Interpret configuración, identidad, escaneo, registro, recuperación y evidencia de aplicación</w:t>
      </w:r>
      <w:r>
        <w:t xml:space="preserve"> </w:t>
      </w:r>
      <w:r>
        <w:t xml:space="preserve">TEN Remediation | Trace finding to owner, due date, correction, and verified retest |</w:t>
      </w:r>
      <w:r>
        <w:t xml:space="preserve"> </w:t>
      </w:r>
      <w:r>
        <w:t xml:space="preserve">TEN Comunicación ANTERIGEN Escribe un resumen del administrador de una página y un documento de trabajo detallado</w:t>
      </w:r>
      <w:r>
        <w:t xml:space="preserve"> </w:t>
      </w:r>
      <w:r>
        <w:t xml:space="preserve">← Ética ← Utilizar datos sintéticos, autorización, límites de alcance y afirmaciones honestas</w:t>
      </w:r>
    </w:p>
    <w:bookmarkEnd w:id="68"/>
    <w:bookmarkEnd w:id="69"/>
    <w:bookmarkStart w:id="79" w:name="laboratorio-ficcional-y-portfolio"/>
    <w:p>
      <w:pPr>
        <w:pStyle w:val="Heading1"/>
      </w:pPr>
      <w:r>
        <w:t xml:space="preserve">27. 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15"/>
        </w:numPr>
        <w:pStyle w:val="Compact"/>
      </w:pPr>
      <w:r>
        <w:t xml:space="preserve">La regla del laboratorio* Utilizar organizaciones ficticias, datos sintéticos, sistemas aislados y autorización escrita. Nunca ataque objetivos públicos, utilice credenciales reales o publique la producción de herramientas sensibles.</w:t>
      </w:r>
      <w:r>
        <w:t xml:space="preserve"> </w:t>
      </w:r>
      <w:r>
        <w:t xml:space="preserve">|. |</w:t>
      </w:r>
    </w:p>
    <w:p>
      <w:pPr>
        <w:numPr>
          <w:ilvl w:val="0"/>
          <w:numId w:val="1016"/>
        </w:numPr>
      </w:pPr>
      <w:r>
        <w:t xml:space="preserve">Crear una compañía ficticia de 50 personas con laptops, servidores, servicios en la nube, una aplicación web, personal remoto y cinco proveedores.</w:t>
      </w:r>
    </w:p>
    <w:p>
      <w:pPr>
        <w:numPr>
          <w:ilvl w:val="0"/>
          <w:numId w:val="1016"/>
        </w:numPr>
      </w:pPr>
      <w:r>
        <w:t xml:space="preserve">Seleccione IG1 y documente tres adiciones basadas en el riesgo de IG2 o IG3.</w:t>
      </w:r>
    </w:p>
    <w:p>
      <w:pPr>
        <w:numPr>
          <w:ilvl w:val="0"/>
          <w:numId w:val="1016"/>
        </w:numPr>
      </w:pPr>
      <w:r>
        <w:t xml:space="preserve">Construir inventarios de activos, software, datos, cuenta, sistema de autenticación, red, proveedor, aplicación y fuente de registro.</w:t>
      </w:r>
    </w:p>
    <w:p>
      <w:pPr>
        <w:numPr>
          <w:ilvl w:val="0"/>
          <w:numId w:val="1016"/>
        </w:numPr>
      </w:pPr>
      <w:r>
        <w:t xml:space="preserve">Use Nmap y osquery en un laboratorio aislado para conciliar los inventarios de activos y software.</w:t>
      </w:r>
    </w:p>
    <w:p>
      <w:pPr>
        <w:numPr>
          <w:ilvl w:val="0"/>
          <w:numId w:val="1016"/>
        </w:numPr>
      </w:pPr>
      <w:r>
        <w:t xml:space="preserve">Utiliza OpenSCAP o Lynis en un host de laboratorio; conclusiones de configuración de documentos, excepciones, correcciones y reevaluación.</w:t>
      </w:r>
    </w:p>
    <w:p>
      <w:pPr>
        <w:numPr>
          <w:ilvl w:val="0"/>
          <w:numId w:val="1016"/>
        </w:numPr>
      </w:pPr>
      <w:r>
        <w:t xml:space="preserve">Use Greenbone en los objetivos de laboratorio aprobados; valide la cobertura, los hallazgos, la remediación y la reutilización.</w:t>
      </w:r>
    </w:p>
    <w:p>
      <w:pPr>
        <w:numPr>
          <w:ilvl w:val="0"/>
          <w:numId w:val="1016"/>
        </w:numPr>
      </w:pPr>
      <w:r>
        <w:t xml:space="preserve">Use Wazuh o Suricata para generar e investigar una alerta de prueba segura.</w:t>
      </w:r>
    </w:p>
    <w:p>
      <w:pPr>
        <w:numPr>
          <w:ilvl w:val="0"/>
          <w:numId w:val="1016"/>
        </w:numPr>
      </w:pPr>
      <w:r>
        <w:t xml:space="preserve">Use Trivy o ZAP en un repositorio de entrenamiento o aplicación y registre y repita.</w:t>
      </w:r>
    </w:p>
    <w:p>
      <w:pPr>
        <w:numPr>
          <w:ilvl w:val="0"/>
          <w:numId w:val="1016"/>
        </w:numPr>
      </w:pPr>
      <w:r>
        <w:t xml:space="preserve">Escriba un registro de prueba de copia de seguridad y una tabla de incidentes.</w:t>
      </w:r>
    </w:p>
    <w:p>
      <w:pPr>
        <w:numPr>
          <w:ilvl w:val="0"/>
          <w:numId w:val="1016"/>
        </w:numPr>
      </w:pPr>
      <w:r>
        <w:t xml:space="preserve">Crear cinco documentos de trabajo de evaluación de CIS con insumos, operaciones, medidas, métricas, listas de excepciones y conclusiones.</w:t>
      </w:r>
    </w:p>
    <w:p>
      <w:pPr>
        <w:numPr>
          <w:ilvl w:val="0"/>
          <w:numId w:val="1016"/>
        </w:numPr>
      </w:pPr>
      <w:r>
        <w:t xml:space="preserve">Publicar sólo artefactos sanitarios y afirmar claramente que el proyecto es ficticio y no una evaluación formal CIS.</w:t>
      </w:r>
    </w:p>
    <w:p>
      <w:pPr>
        <w:pStyle w:val="FirstParagraph"/>
      </w:pPr>
      <w:r>
        <w:rPr>
          <w:bCs/>
          <w:b/>
        </w:rPr>
        <w:t xml:space="preserve">Artifact</w:t>
      </w:r>
      <w:r>
        <w:t xml:space="preserve"> </w:t>
      </w:r>
      <w:r>
        <w:t xml:space="preserve">|</w:t>
      </w:r>
      <w:r>
        <w:t xml:space="preserve"> </w:t>
      </w:r>
      <w:r>
        <w:rPr>
          <w:bCs/>
          <w:b/>
        </w:rPr>
        <w:t xml:space="preserve">Lo que prueba</w:t>
      </w:r>
      <w:r>
        <w:t xml:space="preserve"> </w:t>
      </w:r>
      <w:r>
        <w:t xml:space="preserve">|</w:t>
      </w:r>
    </w:p>
    <w:p>
      <w:pPr>
        <w:pStyle w:val="BodyText"/>
      </w:pPr>
      <w:r>
        <w:t xml:space="preserve">|… |</w:t>
      </w:r>
      <w:r>
        <w:t xml:space="preserve"> </w:t>
      </w:r>
      <w:r>
        <w:t xml:space="preserve">TEN IG selection memo TEN Prioritization and risk reasoning |</w:t>
      </w:r>
      <w:r>
        <w:t xml:space="preserve"> </w:t>
      </w:r>
      <w:r>
        <w:t xml:space="preserve">← Reconciliación de los inventarios</w:t>
      </w:r>
      <w:r>
        <w:t xml:space="preserve"> </w:t>
      </w:r>
      <w:r>
        <w:t xml:space="preserve">Silencioso papel de salvaguardia | Estructura de medición oficial y pruebas</w:t>
      </w:r>
      <w:r>
        <w:t xml:space="preserve"> </w:t>
      </w:r>
      <w:r>
        <w:t xml:space="preserve">Reevaluación de la configuración | Búsqueda técnica, corrección y retestigo</w:t>
      </w:r>
      <w:r>
        <w:t xml:space="preserve"> </w:t>
      </w:r>
      <w:r>
        <w:t xml:space="preserve">TEN Vulnerability report ← Cobertura, priorización, excepción y remediación</w:t>
      </w:r>
      <w:r>
        <w:t xml:space="preserve"> </w:t>
      </w:r>
      <w:r>
        <w:t xml:space="preserve">Silencioso Caso de detección</w:t>
      </w:r>
      <w:r>
        <w:t xml:space="preserve"> </w:t>
      </w:r>
      <w:r>
        <w:t xml:space="preserve">| Restaurar prueba Silencioso Disponibilidad y pruebas de recuperación |</w:t>
      </w:r>
      <w:r>
        <w:t xml:space="preserve"> </w:t>
      </w:r>
      <w:r>
        <w:t xml:space="preserve">tención Administrador dashboard | Clear risk and action communication</w:t>
      </w:r>
    </w:p>
    <w:p>
      <w:pPr>
        <w:numPr>
          <w:ilvl w:val="0"/>
          <w:numId w:val="1017"/>
        </w:numPr>
        <w:pStyle w:val="Compact"/>
      </w:pPr>
      <w:r>
        <w:t xml:space="preserve">Plan de aprendizaje de 30 días</w:t>
      </w:r>
    </w:p>
    <w:p>
      <w:pPr>
        <w:pStyle w:val="FirstParagraph"/>
      </w:pPr>
      <w:r>
        <w:rPr>
          <w:iCs/>
          <w:i/>
        </w:rPr>
        <w:t xml:space="preserve">Un calendario centrado para la capacidad útil de nivel inferior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tención 5–8 Silencioso Activos, software, datos, cuentas, acceso</w:t>
            </w:r>
          </w:p>
        </w:tc>
      </w:tr>
      <w:tr>
        <w:tc>
          <w:tcPr/>
          <w:p>
            <w:pPr>
              <w:pStyle w:val="Compact"/>
              <w:jc w:val="left"/>
            </w:pPr>
            <w:r>
              <w:t xml:space="preserve">TEN 9–12</w:t>
            </w:r>
          </w:p>
        </w:tc>
      </w:tr>
      <w:tr>
        <w:tc>
          <w:tcPr/>
          <w:p>
            <w:pPr>
              <w:pStyle w:val="Compact"/>
              <w:jc w:val="left"/>
            </w:pPr>
            <w:r>
              <w:t xml:space="preserve">13–16 Silenciosos Logs, monitoreo, defensa de la red</w:t>
            </w:r>
          </w:p>
        </w:tc>
      </w:tr>
      <w:tr>
        <w:tc>
          <w:tcPr/>
          <w:p>
            <w:pPr>
              <w:pStyle w:val="Compact"/>
              <w:jc w:val="left"/>
            </w:pPr>
            <w:r>
              <w:t xml:space="preserve">17–19 Silencioso recuperación y respuesta a incidentes</w:t>
            </w:r>
          </w:p>
        </w:tc>
      </w:tr>
      <w:tr>
        <w:tc>
          <w:tcPr/>
          <w:p>
            <w:pPr>
              <w:pStyle w:val="Compact"/>
              <w:jc w:val="left"/>
            </w:pPr>
            <w:r>
              <w:t xml:space="preserve">20–22</w:t>
            </w:r>
          </w:p>
        </w:tc>
      </w:tr>
      <w:tr>
        <w:tc>
          <w:tcPr/>
          <w:p>
            <w:pPr>
              <w:pStyle w:val="Compact"/>
              <w:jc w:val="left"/>
            </w:pPr>
            <w:r>
              <w:t xml:space="preserve">Silencioso 23–25 Evaluación de la vida Especificación</w:t>
            </w:r>
          </w:p>
        </w:tc>
      </w:tr>
      <w:tr>
        <w:tc>
          <w:tcPr/>
          <w:p>
            <w:pPr>
              <w:pStyle w:val="Compact"/>
              <w:jc w:val="left"/>
            </w:pPr>
            <w:r>
              <w:t xml:space="preserve">26–28</w:t>
            </w:r>
          </w:p>
        </w:tc>
      </w:tr>
      <w:tr>
        <w:tc>
          <w:tcPr/>
          <w:p>
            <w:pPr>
              <w:pStyle w:val="Compact"/>
              <w:jc w:val="left"/>
            </w:pPr>
            <w:r>
              <w:t xml:space="preserve">TEN 29–30</w:t>
            </w:r>
          </w:p>
        </w:tc>
      </w:tr>
    </w:tbl>
    <w:p>
      <w:pPr>
        <w:numPr>
          <w:ilvl w:val="0"/>
          <w:numId w:val="1018"/>
        </w:numPr>
        <w:pStyle w:val="Compact"/>
      </w:pPr>
      <w:r>
        <w:t xml:space="preserve">Preparación de entrevistas</w:t>
      </w:r>
    </w:p>
    <w:p>
      <w:pPr>
        <w:numPr>
          <w:ilvl w:val="0"/>
          <w:numId w:val="1019"/>
        </w:numPr>
        <w:pStyle w:val="Compact"/>
      </w:pPr>
      <w:r>
        <w:t xml:space="preserve">Respuestas claras, escenarios prácticos y preguntas para el empleador.*</w:t>
      </w:r>
    </w:p>
    <w:bookmarkStart w:id="70" w:name="cuáles-son-los-controles-cis"/>
    <w:p>
      <w:pPr>
        <w:pStyle w:val="Heading2"/>
      </w:pPr>
      <w:r>
        <w:t xml:space="preserve">29.1 ¿Cuáles son los Controles CIS?</w:t>
      </w:r>
    </w:p>
    <w:p>
      <w:pPr>
        <w:pStyle w:val="FirstParagraph"/>
      </w:pPr>
      <w:r>
        <w:t xml:space="preserve">Un conjunto priorizado de mejores prácticas defensivas organizadas en 18 Controles y 153 Salvaguardias enfocadas.</w:t>
      </w:r>
    </w:p>
    <w:bookmarkEnd w:id="70"/>
    <w:bookmarkStart w:id="71"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71"/>
    <w:bookmarkStart w:id="72"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72"/>
    <w:bookmarkStart w:id="73"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73"/>
    <w:bookmarkStart w:id="74"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74"/>
    <w:bookmarkStart w:id="75"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75"/>
    <w:bookmarkStart w:id="76"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76"/>
    <w:bookmarkStart w:id="77"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77"/>
    <w:bookmarkStart w:id="78"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78"/>
    <w:bookmarkEnd w:id="79"/>
    <w:bookmarkStart w:id="88" w:name="plantillas-glosario-índice-y-referencias"/>
    <w:p>
      <w:pPr>
        <w:pStyle w:val="Heading1"/>
      </w:pPr>
      <w:r>
        <w:t xml:space="preserve">30. Plantillas, Glosario, Índice y Referencias</w:t>
      </w:r>
    </w:p>
    <w:p>
      <w:pPr>
        <w:numPr>
          <w:ilvl w:val="0"/>
          <w:numId w:val="1020"/>
        </w:numPr>
        <w:pStyle w:val="Compact"/>
      </w:pPr>
      <w:r>
        <w:t xml:space="preserve">Estructuras de trabajo reutilizables, términos importantes y puntos de partida autorizados.*</w:t>
      </w:r>
    </w:p>
    <w:bookmarkStart w:id="80" w:name="Xd4c618b42330dd735bc1630c0214b43162c8346"/>
    <w:p>
      <w:pPr>
        <w:pStyle w:val="Heading2"/>
      </w:pPr>
      <w:r>
        <w:t xml:space="preserve">30.1 Documentos de trabajo de medición de salvaguardia</w:t>
      </w:r>
    </w:p>
    <w:p>
      <w:pPr>
        <w:pStyle w:val="FirstParagraph"/>
      </w:pPr>
      <w:r>
        <w:t xml:space="preserve">|** |</w:t>
      </w:r>
      <w:r>
        <w:t xml:space="preserve"> </w:t>
      </w:r>
      <w:r>
        <w:t xml:space="preserve">|. |</w:t>
      </w:r>
      <w:r>
        <w:t xml:space="preserve"> </w:t>
      </w:r>
      <w:r>
        <w:t xml:space="preserve">“</w:t>
      </w:r>
      <w:r>
        <w:t xml:space="preserve">La Salvaguardia de la Vida</w:t>
      </w:r>
      <w:r>
        <w:t xml:space="preserve">”</w:t>
      </w:r>
      <w:r>
        <w:t xml:space="preserve"> </w:t>
      </w:r>
      <w:r>
        <w:t xml:space="preserve">y la IG</w:t>
      </w:r>
      <w:r>
        <w:t xml:space="preserve"> </w:t>
      </w:r>
      <w:r>
        <w:t xml:space="preserve">“</w:t>
      </w:r>
      <w:r>
        <w:t xml:space="preserve">Antes</w:t>
      </w:r>
      <w:r>
        <w:t xml:space="preserve">”</w:t>
      </w:r>
      <w:r>
        <w:t xml:space="preserve"> </w:t>
      </w:r>
      <w:r>
        <w:t xml:space="preserve">“</w:t>
      </w:r>
      <w:r>
        <w:t xml:space="preserve">Escopia y clase de activos</w:t>
      </w:r>
      <w:r>
        <w:t xml:space="preserve">”</w:t>
      </w:r>
      <w:r>
        <w:t xml:space="preserve"> </w:t>
      </w:r>
      <w:r>
        <w:t xml:space="preserve">“</w:t>
      </w:r>
      <w:r>
        <w:t xml:space="preserve">Principal y sistemas de vida</w:t>
      </w:r>
      <w:r>
        <w:t xml:space="preserve">”</w:t>
      </w:r>
      <w:r>
        <w:t xml:space="preserve"> </w:t>
      </w:r>
      <w:r>
        <w:t xml:space="preserve">Las dependencias y las suposiciones de la vida</w:t>
      </w:r>
      <w:r>
        <w:t xml:space="preserve"> </w:t>
      </w:r>
      <w:r>
        <w:t xml:space="preserve">Inputs y validación de la vida</w:t>
      </w:r>
      <w:r>
        <w:t xml:space="preserve"> </w:t>
      </w:r>
      <w:r>
        <w:t xml:space="preserve">“</w:t>
      </w:r>
      <w:r>
        <w:t xml:space="preserve">Operaciones en la vida</w:t>
      </w:r>
      <w:r>
        <w:t xml:space="preserve">”</w:t>
      </w:r>
      <w:r>
        <w:t xml:space="preserve"> </w:t>
      </w:r>
      <w:r>
        <w:t xml:space="preserve">“</w:t>
      </w:r>
      <w:r>
        <w:t xml:space="preserve">Las medidas de la vida</w:t>
      </w:r>
      <w:r>
        <w:t xml:space="preserve">”</w:t>
      </w:r>
      <w:r>
        <w:t xml:space="preserve"> </w:t>
      </w:r>
      <w:r>
        <w:t xml:space="preserve">“</w:t>
      </w:r>
      <w:r>
        <w:t xml:space="preserve">Metric and interpretation |</w:t>
      </w:r>
      <w:r>
        <w:t xml:space="preserve">”</w:t>
      </w:r>
      <w:r>
        <w:t xml:space="preserve"> </w:t>
      </w:r>
      <w:r>
        <w:t xml:space="preserve">Excepciones y limitaciones de la vida</w:t>
      </w:r>
      <w:r>
        <w:t xml:space="preserve"> </w:t>
      </w:r>
      <w:r>
        <w:t xml:space="preserve">La acción, el dueño, la fecha y la prueba de la vida</w:t>
      </w:r>
    </w:p>
    <w:bookmarkEnd w:id="80"/>
    <w:bookmarkStart w:id="81" w:name="registro-de-hallazgos-y-nuevas-pruebas"/>
    <w:p>
      <w:pPr>
        <w:pStyle w:val="Heading2"/>
      </w:pPr>
      <w:r>
        <w:t xml:space="preserve">30.2 Registro de hallazgos y nuevas pruebas</w:t>
      </w:r>
    </w:p>
    <w:p>
      <w:pPr>
        <w:pStyle w:val="FirstParagraph"/>
      </w:pPr>
      <w:r>
        <w:t xml:space="preserve">|** |</w:t>
      </w:r>
      <w:r>
        <w:t xml:space="preserve"> </w:t>
      </w:r>
      <w:r>
        <w:t xml:space="preserve">|… |</w:t>
      </w:r>
      <w:r>
        <w:t xml:space="preserve"> </w:t>
      </w:r>
      <w:r>
        <w:t xml:space="preserve">Los Criterios de la vida siguen adelante.</w:t>
      </w:r>
      <w:r>
        <w:t xml:space="preserve"> </w:t>
      </w:r>
      <w:r>
        <w:t xml:space="preserve">“</w:t>
      </w:r>
      <w:r>
        <w:t xml:space="preserve">Acondicionamiento y evidencia de vida</w:t>
      </w:r>
      <w:r>
        <w:t xml:space="preserve">”</w:t>
      </w:r>
      <w:r>
        <w:t xml:space="preserve"> </w:t>
      </w:r>
      <w:r>
        <w:t xml:space="preserve">La población afectada está en peligro.</w:t>
      </w:r>
      <w:r>
        <w:t xml:space="preserve"> </w:t>
      </w:r>
      <w:r>
        <w:t xml:space="preserve">“</w:t>
      </w:r>
      <w:r>
        <w:t xml:space="preserve">El riesgo y el impacto en la vida</w:t>
      </w:r>
      <w:r>
        <w:t xml:space="preserve">”</w:t>
      </w:r>
      <w:r>
        <w:t xml:space="preserve"> </w:t>
      </w:r>
      <w:r>
        <w:t xml:space="preserve">| Cause TENED                        |</w:t>
      </w:r>
      <w:r>
        <w:t xml:space="preserve"> </w:t>
      </w:r>
      <w:r>
        <w:t xml:space="preserve">“</w:t>
      </w:r>
      <w:r>
        <w:t xml:space="preserve">La protección provisional en la vida</w:t>
      </w:r>
      <w:r>
        <w:t xml:space="preserve">”</w:t>
      </w:r>
      <w:r>
        <w:t xml:space="preserve"> </w:t>
      </w:r>
      <w:r>
        <w:t xml:space="preserve">Corrección y propietario de la vida</w:t>
      </w:r>
      <w:r>
        <w:t xml:space="preserve"> </w:t>
      </w:r>
      <w:r>
        <w:t xml:space="preserve">La fecha de su muerte es la siguiente.</w:t>
      </w:r>
      <w:r>
        <w:t xml:space="preserve"> </w:t>
      </w:r>
      <w:r>
        <w:t xml:space="preserve">“</w:t>
      </w:r>
      <w:r>
        <w:t xml:space="preserve">El procedimiento de la prueba de mentiras</w:t>
      </w:r>
      <w:r>
        <w:t xml:space="preserve">”</w:t>
      </w:r>
      <w:r>
        <w:t xml:space="preserve"> </w:t>
      </w:r>
      <w:r>
        <w:t xml:space="preserve">Resultado final de la vida útil</w:t>
      </w:r>
    </w:p>
    <w:bookmarkEnd w:id="81"/>
    <w:bookmarkStart w:id="82" w:name="glosario"/>
    <w:p>
      <w:pPr>
        <w:pStyle w:val="Heading2"/>
      </w:pPr>
      <w:r>
        <w:t xml:space="preserve">30.3 Glosario</w:t>
      </w:r>
    </w:p>
    <w:p>
      <w:pPr>
        <w:pStyle w:val="FirstParagraph"/>
      </w:pPr>
      <w:r>
        <w:t xml:space="preserve">|** |</w:t>
      </w:r>
      <w:r>
        <w:t xml:space="preserve"> </w:t>
      </w:r>
      <w:r>
        <w:t xml:space="preserve">|. |</w:t>
      </w:r>
      <w:r>
        <w:t xml:space="preserve"> </w:t>
      </w:r>
      <w:r>
        <w:t xml:space="preserve">| Clase Asset | Categoría afectada por una Salvaguardia, como dispositivos, software, datos, red, usuarios o documentación. |</w:t>
      </w:r>
      <w:r>
        <w:t xml:space="preserve"> </w:t>
      </w:r>
      <w:r>
        <w:t xml:space="preserve">| CIS Benchmark ← Recomendaciones de configuración segura para una tecnología específica. |</w:t>
      </w:r>
      <w:r>
        <w:t xml:space="preserve"> </w:t>
      </w:r>
      <w:r>
        <w:t xml:space="preserve">tención CIS Control | Una de las 18 amplias áreas defensivas.</w:t>
      </w:r>
      <w:r>
        <w:t xml:space="preserve"> </w:t>
      </w:r>
      <w:r>
        <w:t xml:space="preserve">confidencialidad CIS Salvaguardia | Una acción enfocada y implementable dentro de un Control. ←</w:t>
      </w:r>
      <w:r>
        <w:t xml:space="preserve"> </w:t>
      </w:r>
      <w:r>
        <w:t xml:space="preserve">TENCIÓN TENIDA Compartir de la población aplicable en la que se implementa adecuadamente la Salvaguardia. |</w:t>
      </w:r>
      <w:r>
        <w:t xml:space="preserve"> </w:t>
      </w:r>
      <w:r>
        <w:t xml:space="preserve">| IG1 tención 56 salvaguardas esenciales de la higiene cibernética. |</w:t>
      </w:r>
      <w:r>
        <w:t xml:space="preserve"> </w:t>
      </w:r>
      <w:r>
        <w:t xml:space="preserve">| IG2 | IG1 más 74 Salvaguardias adicionales.</w:t>
      </w:r>
      <w:r>
        <w:t xml:space="preserve"> </w:t>
      </w:r>
      <w:r>
        <w:t xml:space="preserve">TENIDA IG3 TENIDA IG1 e IG2 más 23 Salvaguardias adicionales; todos 153.</w:t>
      </w:r>
      <w:r>
        <w:t xml:space="preserve"> </w:t>
      </w:r>
      <w:r>
        <w:t xml:space="preserve">TENCIÓN | Una cuenta, lista, fecha, configuración o resultado producido por operaciones de evaluación. |</w:t>
      </w:r>
      <w:r>
        <w:t xml:space="preserve"> </w:t>
      </w:r>
      <w:r>
        <w:t xml:space="preserve">| | Cálculo o interpretación construido a partir de medidas.</w:t>
      </w:r>
      <w:r>
        <w:t xml:space="preserve"> </w:t>
      </w:r>
      <w:r>
        <w:t xml:space="preserve">| Población | Completo conjunto de registros, activos, personas, sistemas o eventos aplicables.</w:t>
      </w:r>
      <w:r>
        <w:t xml:space="preserve"> </w:t>
      </w:r>
      <w:r>
        <w:t xml:space="preserve">tención Revisión de procedimiento tención Evaluación manual de si existe un proceso necesario y contiene los elementos necesarios. |</w:t>
      </w:r>
      <w:r>
        <w:t xml:space="preserve"> </w:t>
      </w:r>
      <w:r>
        <w:t xml:space="preserve">Función de seguridad permanente ← Govern, Identificar, Proteger, Detectar, Responder o Recuperar la cartografía.</w:t>
      </w:r>
    </w:p>
    <w:bookmarkEnd w:id="82"/>
    <w:bookmarkStart w:id="83" w:name="índice-de-asunto"/>
    <w:p>
      <w:pPr>
        <w:pStyle w:val="Heading2"/>
      </w:pPr>
      <w:r>
        <w:t xml:space="preserve">30.4 Índice de asunto</w:t>
      </w:r>
    </w:p>
    <w:p>
      <w:pPr>
        <w:pStyle w:val="FirstParagraph"/>
      </w:pPr>
      <w:r>
        <w:t xml:space="preserve">Subjeto**</w:t>
      </w:r>
      <w:r>
        <w:t xml:space="preserve"> </w:t>
      </w:r>
      <w:r>
        <w:t xml:space="preserve">|… |</w:t>
      </w:r>
      <w:r>
        <w:t xml:space="preserve"> </w:t>
      </w:r>
      <w:r>
        <w:t xml:space="preserve">Silenciosos Cuentas</w:t>
      </w:r>
      <w:r>
        <w:t xml:space="preserve"> </w:t>
      </w:r>
      <w:r>
        <w:t xml:space="preserve">| para la seguridad de la aplicación |</w:t>
      </w:r>
      <w:r>
        <w:t xml:space="preserve"> </w:t>
      </w:r>
      <w:r>
        <w:t xml:space="preserve">Silencioso inventario de activos</w:t>
      </w:r>
      <w:r>
        <w:t xml:space="preserve"> </w:t>
      </w:r>
      <w:r>
        <w:t xml:space="preserve">Silenciosos registros de auditoría</w:t>
      </w:r>
      <w:r>
        <w:t xml:space="preserve"> </w:t>
      </w:r>
      <w:r>
        <w:t xml:space="preserve">| Protección de datos |</w:t>
      </w:r>
      <w:r>
        <w:t xml:space="preserve"> </w:t>
      </w:r>
      <w:r>
        <w:t xml:space="preserve">| Evidencia y medición | 4</w:t>
      </w:r>
      <w:r>
        <w:t xml:space="preserve"> </w:t>
      </w:r>
      <w:r>
        <w:t xml:space="preserve">Silenciosos Grupos de Aplicación</w:t>
      </w:r>
      <w:r>
        <w:t xml:space="preserve"> </w:t>
      </w:r>
      <w:r>
        <w:t xml:space="preserve">| Respuesta del incidente |</w:t>
      </w:r>
      <w:r>
        <w:t xml:space="preserve"> </w:t>
      </w:r>
      <w:r>
        <w:t xml:space="preserve">Silencioso analista junior</w:t>
      </w:r>
      <w:r>
        <w:t xml:space="preserve"> </w:t>
      </w:r>
      <w:r>
        <w:t xml:space="preserve">| | |</w:t>
      </w:r>
      <w:r>
        <w:t xml:space="preserve"> </w:t>
      </w:r>
      <w:r>
        <w:t xml:space="preserve">Silencioso Silencioso</w:t>
      </w:r>
      <w:r>
        <w:t xml:space="preserve"> </w:t>
      </w:r>
      <w:r>
        <w:t xml:space="preserve">Silencioso en la Red 17-18</w:t>
      </w:r>
      <w:r>
        <w:t xml:space="preserve"> </w:t>
      </w:r>
      <w:r>
        <w:t xml:space="preserve">| Herramientas de código abierto | 24 |</w:t>
      </w:r>
      <w:r>
        <w:t xml:space="preserve"> </w:t>
      </w:r>
      <w:r>
        <w:t xml:space="preserve">pruebas de Penetración Silencioso</w:t>
      </w:r>
      <w:r>
        <w:t xml:space="preserve"> </w:t>
      </w:r>
      <w:r>
        <w:t xml:space="preserve">Silencioso de recuperación</w:t>
      </w:r>
      <w:r>
        <w:t xml:space="preserve"> </w:t>
      </w:r>
      <w:r>
        <w:t xml:space="preserve">proveedores de servicios | 20 |</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83"/>
    <w:bookmarkStart w:id="87"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84">
        <w:r>
          <w:rPr>
            <w:rStyle w:val="Hyperlink"/>
          </w:rPr>
          <w:t xml:space="preserve">Nota de Controles CIS</w:t>
        </w:r>
      </w:hyperlink>
    </w:p>
    <w:p>
      <w:pPr>
        <w:pStyle w:val="BodyText"/>
      </w:pPr>
      <w:r>
        <w:t xml:space="preserve">[ ]](https://www.cisecurity.org/controls/implementation-groups)</w:t>
      </w:r>
    </w:p>
    <w:p>
      <w:pPr>
        <w:pStyle w:val="BodyText"/>
      </w:pPr>
      <w:hyperlink r:id="rId85">
        <w:r>
          <w:rPr>
            <w:rStyle w:val="Hyperlink"/>
          </w:rPr>
          <w:t xml:space="preserve">Seguido</w:t>
        </w:r>
      </w:hyperlink>
    </w:p>
    <w:p>
      <w:pPr>
        <w:pStyle w:val="BodyText"/>
      </w:pPr>
      <w:hyperlink r:id="rId42">
        <w:r>
          <w:rPr>
            <w:rStyle w:val="Hyperlink"/>
          </w:rPr>
          <w:t xml:space="preserve">Seguido</w:t>
        </w:r>
      </w:hyperlink>
    </w:p>
    <w:p>
      <w:pPr>
        <w:pStyle w:val="BodyText"/>
      </w:pPr>
      <w:hyperlink r:id="rId86">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rPr>
          <w:bCs/>
          <w:b/>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w:t>
      </w:r>
    </w:p>
    <w:p>
      <w:pPr>
        <w:pStyle w:val="BodyText"/>
      </w:pPr>
      <w:r>
        <w:t xml:space="preserve">Respuesta</w:t>
      </w:r>
    </w:p>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1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42" Target="https://cas.docs.cisecurity.org/en/latest/" TargetMode="External" /><Relationship Type="http://schemas.openxmlformats.org/officeDocument/2006/relationships/hyperlink" Id="rId52" Target="https://cisofy.com/lynis/" TargetMode="External" /><Relationship Type="http://schemas.openxmlformats.org/officeDocument/2006/relationships/hyperlink" Id="rId64" Target="https://docs.velociraptor.app/" TargetMode="External" /><Relationship Type="http://schemas.openxmlformats.org/officeDocument/2006/relationships/hyperlink" Id="rId45" Target="https://intuitem.github.io/ciso-assistant-community/" TargetMode="External" /><Relationship Type="http://schemas.openxmlformats.org/officeDocument/2006/relationships/hyperlink" Id="rId54" Target="https://nmap.org/" TargetMode="External" /><Relationship Type="http://schemas.openxmlformats.org/officeDocument/2006/relationships/hyperlink" Id="rId47" Target="https://wazuh.com/" TargetMode="External" /><Relationship Type="http://schemas.openxmlformats.org/officeDocument/2006/relationships/hyperlink" Id="rId85" Target="https://www.cisecurity.org/controls/cis-controls-assessment-specification" TargetMode="External" /><Relationship Type="http://schemas.openxmlformats.org/officeDocument/2006/relationships/hyperlink" Id="rId84" Target="https://www.cisecurity.org/controls/cis-controls-list" TargetMode="External" /><Relationship Type="http://schemas.openxmlformats.org/officeDocument/2006/relationships/hyperlink" Id="rId86" Target="https://www.cisecurity.org/controls/cis-controls-navigator" TargetMode="External" /><Relationship Type="http://schemas.openxmlformats.org/officeDocument/2006/relationships/hyperlink" Id="rId62" Target="https://www.defectdojo.org/" TargetMode="External" /><Relationship Type="http://schemas.openxmlformats.org/officeDocument/2006/relationships/hyperlink" Id="rId60" Target="https://www.keycloak.org/" TargetMode="External" /><Relationship Type="http://schemas.openxmlformats.org/officeDocument/2006/relationships/hyperlink" Id="rId50" Target="https://www.open-scap.org/" TargetMode="External" /></Relationships>
</file>

<file path=word/_rels/footnotes.xml.rels><?xml version="1.0" encoding="UTF-8"?><Relationships xmlns="http://schemas.openxmlformats.org/package/2006/relationships"><Relationship Type="http://schemas.openxmlformats.org/officeDocument/2006/relationships/hyperlink" Id="rId42" Target="https://cas.docs.cisecurity.org/en/latest/" TargetMode="External" /><Relationship Type="http://schemas.openxmlformats.org/officeDocument/2006/relationships/hyperlink" Id="rId52" Target="https://cisofy.com/lynis/" TargetMode="External" /><Relationship Type="http://schemas.openxmlformats.org/officeDocument/2006/relationships/hyperlink" Id="rId64" Target="https://docs.velociraptor.app/" TargetMode="External" /><Relationship Type="http://schemas.openxmlformats.org/officeDocument/2006/relationships/hyperlink" Id="rId45" Target="https://intuitem.github.io/ciso-assistant-community/" TargetMode="External" /><Relationship Type="http://schemas.openxmlformats.org/officeDocument/2006/relationships/hyperlink" Id="rId54" Target="https://nmap.org/" TargetMode="External" /><Relationship Type="http://schemas.openxmlformats.org/officeDocument/2006/relationships/hyperlink" Id="rId47" Target="https://wazuh.com/" TargetMode="External" /><Relationship Type="http://schemas.openxmlformats.org/officeDocument/2006/relationships/hyperlink" Id="rId85" Target="https://www.cisecurity.org/controls/cis-controls-assessment-specification" TargetMode="External" /><Relationship Type="http://schemas.openxmlformats.org/officeDocument/2006/relationships/hyperlink" Id="rId84" Target="https://www.cisecurity.org/controls/cis-controls-list" TargetMode="External" /><Relationship Type="http://schemas.openxmlformats.org/officeDocument/2006/relationships/hyperlink" Id="rId86" Target="https://www.cisecurity.org/controls/cis-controls-navigator" TargetMode="External" /><Relationship Type="http://schemas.openxmlformats.org/officeDocument/2006/relationships/hyperlink" Id="rId62" Target="https://www.defectdojo.org/" TargetMode="External" /><Relationship Type="http://schemas.openxmlformats.org/officeDocument/2006/relationships/hyperlink" Id="rId60" Target="https://www.keycloak.org/" TargetMode="External" /><Relationship Type="http://schemas.openxmlformats.org/officeDocument/2006/relationships/hyperlink" Id="rId50" Target="https://www.open-sca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2026-07-30T23:19:43Z</dcterms:created>
  <dcterms:modified xsi:type="dcterms:W3CDTF">2026-07-30T23:19:43Z</dcterms:modified>
</cp:coreProperties>
</file>

<file path=docProps/custom.xml><?xml version="1.0" encoding="utf-8"?>
<Properties xmlns="http://schemas.openxmlformats.org/officeDocument/2006/custom-properties" xmlns:vt="http://schemas.openxmlformats.org/officeDocument/2006/docPropsVTypes"/>
</file>