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Override PartName="/word/media/rId48.png" ContentType="image/png"/>
  <Override PartName="/word/media/rId56.png" ContentType="image/png"/>
  <Override PartName="/word/media/rId77.png" ContentType="image/png"/>
  <Override PartName="/word/media/rId88.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8"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CaptionedFigure"/>
      </w:pPr>
      <w:r>
        <w:drawing>
          <wp:inline>
            <wp:extent cx="5334000" cy="2585298"/>
            <wp:effectExtent b="0" l="0" r="0" t="0"/>
            <wp:docPr descr="Privacidad, Seguridad, Notificación de Violaciones y Cumplimiento están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 Seguridad, Notificación de Violaciones y Cumplimiento están conectados.</w:t>
      </w:r>
    </w:p>
    <w:p>
      <w:pPr>
        <w:pStyle w:val="BodyText"/>
      </w:pPr>
      <w:r>
        <w:t xml:space="preserve">Figura 1. Las principales áreas de cumplimiento HIPAA</w:t>
      </w:r>
    </w:p>
    <w:bookmarkStart w:id="28"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8"/>
    <w:bookmarkStart w:id="29"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9"/>
    <w:bookmarkStart w:id="33"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CaptionedFigure"/>
      </w:pPr>
      <w:r>
        <w:drawing>
          <wp:inline>
            <wp:extent cx="5334000" cy="2836690"/>
            <wp:effectExtent b="0" l="0" r="0" t="0"/>
            <wp:docPr descr="La PHI se crea, utiliza, comparte, almacena y destruye durante su ciclo de vida." title="" id="31" name="Picture"/>
            <a:graphic>
              <a:graphicData uri="http://schemas.openxmlformats.org/drawingml/2006/picture">
                <pic:pic>
                  <pic:nvPicPr>
                    <pic:cNvPr descr="media/image2.png" id="32" name="Picture"/>
                    <pic:cNvPicPr>
                      <a:picLocks noChangeArrowheads="1" noChangeAspect="1"/>
                    </pic:cNvPicPr>
                  </pic:nvPicPr>
                  <pic:blipFill>
                    <a:blip r:embed="rId30"/>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La PHI se crea, utiliza, comparte, almacena y destruye durante su ciclo de vida.</w:t>
      </w:r>
    </w:p>
    <w:p>
      <w:pPr>
        <w:pStyle w:val="BodyText"/>
      </w:pPr>
      <w:r>
        <w:t xml:space="preserve">Figura 2. Ciclo de vida de la PHI</w:t>
      </w:r>
    </w:p>
    <w:bookmarkEnd w:id="33"/>
    <w:bookmarkStart w:id="34"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34"/>
    <w:bookmarkStart w:id="35"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35"/>
    <w:bookmarkStart w:id="36"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6"/>
    <w:bookmarkStart w:id="37"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7"/>
    <w:bookmarkEnd w:id="38"/>
    <w:bookmarkStart w:id="47"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9"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9"/>
    <w:bookmarkStart w:id="40"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40"/>
    <w:bookmarkStart w:id="41"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41"/>
    <w:bookmarkStart w:id="42"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42"/>
    <w:bookmarkStart w:id="43"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43"/>
    <w:bookmarkStart w:id="44"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44"/>
    <w:bookmarkStart w:id="45"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45"/>
    <w:bookmarkStart w:id="46"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6"/>
    <w:bookmarkEnd w:id="47"/>
    <w:bookmarkStart w:id="55"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CaptionedFigure"/>
      </w:pPr>
      <w:r>
        <w:drawing>
          <wp:inline>
            <wp:extent cx="5334000" cy="2890472"/>
            <wp:effectExtent b="0" l="0" r="0" t="0"/>
            <wp:docPr descr="Las salvaguardias administrativas, físicas y técnicas dependen del análisis de riesgos." title="" id="49" name="Picture"/>
            <a:graphic>
              <a:graphicData uri="http://schemas.openxmlformats.org/drawingml/2006/picture">
                <pic:pic>
                  <pic:nvPicPr>
                    <pic:cNvPr descr="media/image3.png" id="50" name="Picture"/>
                    <pic:cNvPicPr>
                      <a:picLocks noChangeArrowheads="1" noChangeAspect="1"/>
                    </pic:cNvPicPr>
                  </pic:nvPicPr>
                  <pic:blipFill>
                    <a:blip r:embed="rId48"/>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Las salvaguardias administrativas, físicas y técnicas dependen del análisis de riesgos.</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51"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51"/>
    <w:bookmarkStart w:id="52"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52"/>
    <w:bookmarkStart w:id="53"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53"/>
    <w:bookmarkStart w:id="54"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54"/>
    <w:bookmarkEnd w:id="55"/>
    <w:bookmarkStart w:id="62"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59"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CaptionedFigure"/>
      </w:pPr>
      <w:r>
        <w:drawing>
          <wp:inline>
            <wp:extent cx="5334000" cy="2997916"/>
            <wp:effectExtent b="0" l="0" r="0" t="0"/>
            <wp:docPr descr="El descubrimiento, la contención, la evaluación, la notificación y la mejora forman un solo proceso." title="" id="57" name="Picture"/>
            <a:graphic>
              <a:graphicData uri="http://schemas.openxmlformats.org/drawingml/2006/picture">
                <pic:pic>
                  <pic:nvPicPr>
                    <pic:cNvPr descr="media/image4.png" id="58" name="Picture"/>
                    <pic:cNvPicPr>
                      <a:picLocks noChangeArrowheads="1" noChangeAspect="1"/>
                    </pic:cNvPicPr>
                  </pic:nvPicPr>
                  <pic:blipFill>
                    <a:blip r:embed="rId56"/>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El descubrimiento, la contención, la evaluación, la notificación y la mejora forman un solo proceso.</w:t>
      </w:r>
    </w:p>
    <w:p>
      <w:pPr>
        <w:pStyle w:val="BodyText"/>
      </w:pPr>
      <w:r>
        <w:t xml:space="preserve">Figura 4. Flujo de trabajo de ruptura HIPAA</w:t>
      </w:r>
    </w:p>
    <w:bookmarkEnd w:id="59"/>
    <w:bookmarkStart w:id="60"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60"/>
    <w:bookmarkStart w:id="61"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61"/>
    <w:bookmarkEnd w:id="62"/>
    <w:bookmarkStart w:id="65"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63"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63"/>
    <w:bookmarkStart w:id="64"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64"/>
    <w:bookmarkEnd w:id="65"/>
    <w:bookmarkStart w:id="73"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66"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66"/>
    <w:bookmarkStart w:id="67"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67"/>
    <w:bookmarkStart w:id="68"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68"/>
    <w:bookmarkStart w:id="69"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69"/>
    <w:bookmarkStart w:id="70"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70"/>
    <w:bookmarkStart w:id="71"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71"/>
    <w:bookmarkStart w:id="72"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72"/>
    <w:bookmarkEnd w:id="73"/>
    <w:bookmarkStart w:id="83"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74"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74"/>
    <w:bookmarkStart w:id="75"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75"/>
    <w:bookmarkStart w:id="76"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76"/>
    <w:bookmarkStart w:id="80"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CaptionedFigure"/>
      </w:pPr>
      <w:r>
        <w:drawing>
          <wp:inline>
            <wp:extent cx="5334000" cy="3096209"/>
            <wp:effectExtent b="0" l="0" r="0" t="0"/>
            <wp:docPr descr="Comience con el requisito y el alcance, pruebe el control, corrija las excepciones y vuelva a probar antes de concluir." title="" id="78" name="Picture"/>
            <a:graphic>
              <a:graphicData uri="http://schemas.openxmlformats.org/drawingml/2006/picture">
                <pic:pic>
                  <pic:nvPicPr>
                    <pic:cNvPr descr="media/image5.png" id="79" name="Picture"/>
                    <pic:cNvPicPr>
                      <a:picLocks noChangeArrowheads="1" noChangeAspect="1"/>
                    </pic:cNvPicPr>
                  </pic:nvPicPr>
                  <pic:blipFill>
                    <a:blip r:embed="rId77"/>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Comience con el requisito y el alcance, pruebe el control, corrija las excepciones y vuelva a probar antes de concluir.</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80"/>
    <w:bookmarkStart w:id="81"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81"/>
    <w:bookmarkStart w:id="82"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82"/>
    <w:bookmarkEnd w:id="83"/>
    <w:bookmarkStart w:id="87"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84"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84"/>
    <w:bookmarkStart w:id="85"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85"/>
    <w:bookmarkStart w:id="86"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86"/>
    <w:bookmarkEnd w:id="87"/>
    <w:bookmarkStart w:id="94"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CaptionedFigure"/>
      </w:pPr>
      <w:r>
        <w:drawing>
          <wp:inline>
            <wp:extent cx="5334000" cy="2871157"/>
            <wp:effectExtent b="0" l="0" r="0" t="0"/>
            <wp:docPr descr="Aprender, mapear, probar, documentar y aplicar el trabajo forman una trayectoria profesional." title="" id="89" name="Picture"/>
            <a:graphic>
              <a:graphicData uri="http://schemas.openxmlformats.org/drawingml/2006/picture">
                <pic:pic>
                  <pic:nvPicPr>
                    <pic:cNvPr descr="media/image6.png" id="90" name="Picture"/>
                    <pic:cNvPicPr>
                      <a:picLocks noChangeArrowheads="1" noChangeAspect="1"/>
                    </pic:cNvPicPr>
                  </pic:nvPicPr>
                  <pic:blipFill>
                    <a:blip r:embed="rId8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probar, documentar y aplicar el trabajo forman una trayectoria profesional.</w:t>
      </w:r>
    </w:p>
    <w:p>
      <w:pPr>
        <w:pStyle w:val="BodyText"/>
      </w:pPr>
      <w:r>
        <w:t xml:space="preserve">Figura 5. Vía analista Junior HIPAA</w:t>
      </w:r>
    </w:p>
    <w:bookmarkStart w:id="91"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91"/>
    <w:bookmarkStart w:id="92"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92"/>
    <w:bookmarkStart w:id="93"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93"/>
    <w:bookmarkEnd w:id="94"/>
    <w:bookmarkStart w:id="135"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95"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95"/>
    <w:bookmarkStart w:id="96"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96"/>
    <w:bookmarkStart w:id="100"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CaptionedFigure"/>
      </w:pPr>
      <w:r>
        <w:drawing>
          <wp:inline>
            <wp:extent cx="5334000" cy="2997916"/>
            <wp:effectExtent b="0" l="0" r="0" t="0"/>
            <wp:docPr descr="Un informe aislado no es prueba; la autorización, la validación, la remediación y una nueva prueba crean la cadena de evidencia." title="" id="98" name="Picture"/>
            <a:graphic>
              <a:graphicData uri="http://schemas.openxmlformats.org/drawingml/2006/picture">
                <pic:pic>
                  <pic:nvPicPr>
                    <pic:cNvPr descr="media/image7.png" id="99" name="Picture"/>
                    <pic:cNvPicPr>
                      <a:picLocks noChangeArrowheads="1" noChangeAspect="1"/>
                    </pic:cNvPicPr>
                  </pic:nvPicPr>
                  <pic:blipFill>
                    <a:blip r:embed="rId97"/>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Un informe aislado no es prueba; la autorización, la validación, la remediación y una nueva prueba crean la cadena de evidencia.</w:t>
      </w:r>
    </w:p>
    <w:p>
      <w:pPr>
        <w:pStyle w:val="BodyText"/>
      </w:pPr>
      <w:r>
        <w:t xml:space="preserve">Gráfico 7 De la producción de herramientas a la evidencia de cumplimiento</w:t>
      </w:r>
    </w:p>
    <w:bookmarkEnd w:id="100"/>
    <w:bookmarkStart w:id="102"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101"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101"/>
    <w:bookmarkEnd w:id="102"/>
    <w:bookmarkStart w:id="103"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104"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104"/>
    <w:bookmarkEnd w:id="105"/>
    <w:bookmarkStart w:id="106"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6"/>
    <w:bookmarkStart w:id="108"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107"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107"/>
    <w:bookmarkEnd w:id="108"/>
    <w:bookmarkStart w:id="109"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9"/>
    <w:bookmarkStart w:id="111"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10"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10"/>
    <w:bookmarkEnd w:id="111"/>
    <w:bookmarkStart w:id="112"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2"/>
    <w:bookmarkStart w:id="114"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113"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113"/>
    <w:bookmarkEnd w:id="114"/>
    <w:bookmarkStart w:id="115"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5"/>
    <w:bookmarkStart w:id="117"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16"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116"/>
    <w:bookmarkEnd w:id="117"/>
    <w:bookmarkStart w:id="118"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8"/>
    <w:bookmarkStart w:id="120"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119"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119"/>
    <w:bookmarkEnd w:id="120"/>
    <w:bookmarkStart w:id="121"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1"/>
    <w:bookmarkStart w:id="123"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22"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22"/>
    <w:bookmarkEnd w:id="123"/>
    <w:bookmarkStart w:id="124"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4"/>
    <w:bookmarkStart w:id="126"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25"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25"/>
    <w:bookmarkEnd w:id="126"/>
    <w:bookmarkStart w:id="128"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27"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27"/>
    <w:bookmarkEnd w:id="128"/>
    <w:bookmarkStart w:id="129"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9"/>
    <w:bookmarkStart w:id="131"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30"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30"/>
    <w:bookmarkEnd w:id="131"/>
    <w:bookmarkStart w:id="132"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32"/>
    <w:bookmarkStart w:id="133"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33"/>
    <w:bookmarkStart w:id="134"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34"/>
    <w:bookmarkEnd w:id="135"/>
    <w:bookmarkStart w:id="152"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36"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36"/>
    <w:bookmarkStart w:id="137"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37"/>
    <w:bookmarkStart w:id="138"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38"/>
    <w:bookmarkStart w:id="139"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39"/>
    <w:bookmarkStart w:id="140"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40"/>
    <w:bookmarkStart w:id="141"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41"/>
    <w:bookmarkStart w:id="142"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42"/>
    <w:bookmarkStart w:id="143"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43"/>
    <w:bookmarkStart w:id="144"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44"/>
    <w:bookmarkStart w:id="145"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45"/>
    <w:bookmarkStart w:id="146"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46"/>
    <w:bookmarkStart w:id="147"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47"/>
    <w:bookmarkStart w:id="148"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48"/>
    <w:bookmarkStart w:id="149"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49"/>
    <w:bookmarkStart w:id="150"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50"/>
    <w:bookmarkStart w:id="151"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51"/>
    <w:bookmarkEnd w:id="152"/>
    <w:bookmarkStart w:id="158"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53"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53"/>
    <w:bookmarkStart w:id="154"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54"/>
    <w:bookmarkStart w:id="155"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55"/>
    <w:bookmarkStart w:id="156"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56"/>
    <w:bookmarkStart w:id="157"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57"/>
    <w:bookmarkEnd w:id="158"/>
    <w:bookmarkStart w:id="159"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59"/>
    <w:bookmarkStart w:id="160"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60"/>
    <w:bookmarkStart w:id="170"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61">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62">
        <w:r>
          <w:rPr>
            <w:rStyle w:val="Hyperlink"/>
          </w:rPr>
          <w:t xml:space="preserve">Se indica</w:t>
        </w:r>
      </w:hyperlink>
    </w:p>
    <w:p>
      <w:pPr>
        <w:pStyle w:val="BodyText"/>
      </w:pPr>
      <w:r>
        <w:t xml:space="preserve">[ ]](https://www.open-scap.org/getting-started/)</w:t>
      </w:r>
    </w:p>
    <w:p>
      <w:pPr>
        <w:pStyle w:val="BodyText"/>
      </w:pPr>
      <w:hyperlink r:id="rId163">
        <w:r>
          <w:rPr>
            <w:rStyle w:val="Hyperlink"/>
          </w:rPr>
          <w:t xml:space="preserve">Se indica</w:t>
        </w:r>
      </w:hyperlink>
    </w:p>
    <w:p>
      <w:pPr>
        <w:pStyle w:val="BodyText"/>
      </w:pPr>
      <w:hyperlink r:id="rId164">
        <w:r>
          <w:rPr>
            <w:rStyle w:val="Hyperlink"/>
          </w:rPr>
          <w:t xml:space="preserve">Se indica</w:t>
        </w:r>
      </w:hyperlink>
    </w:p>
    <w:p>
      <w:pPr>
        <w:pStyle w:val="BodyText"/>
      </w:pPr>
      <w:hyperlink r:id="rId165">
        <w:r>
          <w:rPr>
            <w:rStyle w:val="Hyperlink"/>
          </w:rPr>
          <w:t xml:space="preserve">Se indica</w:t>
        </w:r>
      </w:hyperlink>
    </w:p>
    <w:p>
      <w:pPr>
        <w:pStyle w:val="BodyText"/>
      </w:pPr>
      <w:hyperlink r:id="rId166">
        <w:r>
          <w:rPr>
            <w:rStyle w:val="Hyperlink"/>
          </w:rPr>
          <w:t xml:space="preserve">Se indica</w:t>
        </w:r>
      </w:hyperlink>
    </w:p>
    <w:p>
      <w:pPr>
        <w:pStyle w:val="BodyText"/>
      </w:pPr>
      <w:hyperlink r:id="rId167">
        <w:r>
          <w:rPr>
            <w:rStyle w:val="Hyperlink"/>
          </w:rPr>
          <w:t xml:space="preserve">Se indica</w:t>
        </w:r>
      </w:hyperlink>
    </w:p>
    <w:p>
      <w:pPr>
        <w:pStyle w:val="BodyText"/>
      </w:pPr>
      <w:hyperlink r:id="rId168">
        <w:r>
          <w:rPr>
            <w:rStyle w:val="Hyperlink"/>
          </w:rPr>
          <w:t xml:space="preserve">Se indica</w:t>
        </w:r>
      </w:hyperlink>
    </w:p>
    <w:p>
      <w:pPr>
        <w:pStyle w:val="BodyText"/>
      </w:pPr>
      <w:hyperlink r:id="rId169">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2026-07-30T10:01:35Z</dcterms:created>
  <dcterms:modified xsi:type="dcterms:W3CDTF">2026-07-30T10:01:35Z</dcterms:modified>
</cp:coreProperties>
</file>

<file path=docProps/custom.xml><?xml version="1.0" encoding="utf-8"?>
<Properties xmlns="http://schemas.openxmlformats.org/officeDocument/2006/custom-properties" xmlns:vt="http://schemas.openxmlformats.org/officeDocument/2006/docPropsVTypes"/>
</file>