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Kit</w:t>
      </w:r>
      <w:r>
        <w:t xml:space="preserve"> </w:t>
      </w:r>
      <w:r>
        <w:t xml:space="preserve">de</w:t>
      </w:r>
      <w:r>
        <w:t xml:space="preserve"> </w:t>
      </w:r>
      <w:r>
        <w:t xml:space="preserve">Métricas</w:t>
      </w:r>
      <w:r>
        <w:t xml:space="preserve"> </w:t>
      </w:r>
      <w:r>
        <w:t xml:space="preserve">GRC</w:t>
      </w:r>
      <w:r>
        <w:t xml:space="preserve"> </w:t>
      </w:r>
      <w:r>
        <w:t xml:space="preserve">e</w:t>
      </w:r>
      <w:r>
        <w:t xml:space="preserve"> </w:t>
      </w:r>
      <w:r>
        <w:t xml:space="preserve">Informes</w:t>
      </w:r>
      <w:r>
        <w:t xml:space="preserve"> </w:t>
      </w:r>
      <w:r>
        <w:t xml:space="preserve">Ejecutivos</w:t>
      </w:r>
    </w:p>
    <w:p>
      <w:pPr>
        <w:pStyle w:val="Author"/>
      </w:pPr>
      <w:r>
        <w:t xml:space="preserve">Alberto Al Leiva</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78b4713e3193fafe364771e58f86b2080312f45"/>
    <w:p>
      <w:pPr>
        <w:pStyle w:val="Heading1"/>
      </w:pPr>
      <w:r>
        <w:t xml:space="preserve">GRC Metrics and Executive Reporting Toolkit</w:t>
      </w:r>
    </w:p>
    <w:p>
      <w:pPr>
        <w:pStyle w:val="BlockText"/>
      </w:pPr>
      <w:r>
        <w:t xml:space="preserve">Orientación educativa y operacional solamente. Un informe métrico, marcador, tendencia, punto de referencia, umbral, panel de control, calificación de vencimiento o gestión no prueba cumplimiento, seguridad, eficacia de control, garantía de auditoría o desempeño de negocios.</w:t>
      </w:r>
    </w:p>
    <w:bookmarkStart w:id="20" w:name="cómo-utilizar-este-kit-de-herramientas"/>
    <w:p>
      <w:pPr>
        <w:pStyle w:val="Heading2"/>
      </w:pPr>
      <w:r>
        <w:t xml:space="preserve">Cómo utilizar este kit de herramientas</w:t>
      </w:r>
    </w:p>
    <w:p>
      <w:pPr>
        <w:pStyle w:val="FirstParagraph"/>
      </w:pPr>
      <w:r>
        <w:t xml:space="preserve">Utilice los capítulos para diseñar y gobernar un programa de medición. Utilice las herramientas editables CSV para retener definiciones, decisiones de revisión, contexto de presentación de informes ejecutivos y acciones resultantes. Adaptar todo el contenido a los objetivos de la organización, perfil de riesgo, obligaciones, datos, autoridades de gobierno y necesidades de presentación de informes.</w:t>
      </w:r>
    </w:p>
    <w:bookmarkEnd w:id="20"/>
    <w:bookmarkStart w:id="21" w:name="herramientas-editables"/>
    <w:p>
      <w:pPr>
        <w:pStyle w:val="Heading2"/>
      </w:pPr>
      <w:r>
        <w:t xml:space="preserve">Herramientas editables</w:t>
      </w:r>
    </w:p>
    <w:p>
      <w:pPr>
        <w:numPr>
          <w:ilvl w:val="0"/>
          <w:numId w:val="1001"/>
        </w:numPr>
        <w:pStyle w:val="Compact"/>
      </w:pPr>
      <w:r>
        <w:rPr>
          <w:rStyle w:val="VerbatimChar"/>
        </w:rPr>
        <w:t xml:space="preserve">Metric_Definition_Register.csv</w:t>
      </w:r>
      <w:r>
        <w:t xml:space="preserve"> </w:t>
      </w:r>
      <w:r>
        <w:t xml:space="preserve">— 40 campos controlados</w:t>
      </w:r>
    </w:p>
    <w:p>
      <w:pPr>
        <w:numPr>
          <w:ilvl w:val="0"/>
          <w:numId w:val="1001"/>
        </w:numPr>
        <w:pStyle w:val="Compact"/>
      </w:pPr>
      <w:r>
        <w:rPr>
          <w:rStyle w:val="VerbatimChar"/>
        </w:rPr>
        <w:t xml:space="preserve">KPI_KRI_Review_Worksheet.csv</w:t>
      </w:r>
      <w:r>
        <w:t xml:space="preserve"> </w:t>
      </w:r>
      <w:r>
        <w:t xml:space="preserve">— 36 campos controlados</w:t>
      </w:r>
    </w:p>
    <w:p>
      <w:pPr>
        <w:numPr>
          <w:ilvl w:val="0"/>
          <w:numId w:val="1001"/>
        </w:numPr>
        <w:pStyle w:val="Compact"/>
      </w:pPr>
      <w:r>
        <w:rPr>
          <w:rStyle w:val="VerbatimChar"/>
        </w:rPr>
        <w:t xml:space="preserve">Executive_GRC_Scorecard.csv</w:t>
      </w:r>
      <w:r>
        <w:t xml:space="preserve"> </w:t>
      </w:r>
      <w:r>
        <w:t xml:space="preserve">— 34 campos controlados</w:t>
      </w:r>
    </w:p>
    <w:p>
      <w:pPr>
        <w:numPr>
          <w:ilvl w:val="0"/>
          <w:numId w:val="1001"/>
        </w:numPr>
        <w:pStyle w:val="Compact"/>
      </w:pPr>
      <w:r>
        <w:rPr>
          <w:rStyle w:val="VerbatimChar"/>
        </w:rPr>
        <w:t xml:space="preserve">Metrics_Action_and_Decision_Tracker.csv</w:t>
      </w:r>
      <w:r>
        <w:t xml:space="preserve"> </w:t>
      </w:r>
      <w:r>
        <w:t xml:space="preserve">— 28 campos controlados</w:t>
      </w:r>
    </w:p>
    <w:bookmarkEnd w:id="21"/>
    <w:bookmarkStart w:id="22" w:name="limitaciones-de-examen-humano"/>
    <w:p>
      <w:pPr>
        <w:pStyle w:val="Heading2"/>
      </w:pPr>
      <w:r>
        <w:t xml:space="preserve">Limitaciones de examen humano</w:t>
      </w:r>
    </w:p>
    <w:p>
      <w:pPr>
        <w:pStyle w:val="FirstParagraph"/>
      </w:pPr>
      <w:r>
        <w:t xml:space="preserve">Controles automatizados validan la estructura, los recuentos de campo, la integridad del paquete y las salvaguardias seleccionadas. No realizan revisión jurídica, reglamentaria, normativa, auditoría, calidad de los datos, accesibilidad, lengua nativa, estadística o página por página humana.</w:t>
      </w:r>
    </w:p>
    <w:bookmarkEnd w:id="22"/>
    <w:bookmarkEnd w:id="23"/>
    <w:bookmarkStart w:id="29" w:name="X1a7ef246d62f17071ca021d15a4b6ff96bc1932"/>
    <w:p>
      <w:pPr>
        <w:pStyle w:val="Heading1"/>
      </w:pPr>
      <w:r>
        <w:t xml:space="preserve">Gobernanza métrica y propósito de la decisión</w:t>
      </w:r>
    </w:p>
    <w:bookmarkStart w:id="24" w:name="por-qué-existen-métricas"/>
    <w:p>
      <w:pPr>
        <w:pStyle w:val="Heading2"/>
      </w:pPr>
      <w:r>
        <w:t xml:space="preserve">Por qué existen métricas</w:t>
      </w:r>
    </w:p>
    <w:p>
      <w:pPr>
        <w:pStyle w:val="FirstParagraph"/>
      </w:pPr>
      <w:r>
        <w:t xml:space="preserve">Una métrica GRC es una ayuda de decisión controlada. Debe responder a una pregunta definida para un público identificado dentro de un período y alcance declarado. Una métrica que no tiene un propósito de decisión se convierte en actividad de presentación de informes en lugar de información de gobernanza.</w:t>
      </w:r>
    </w:p>
    <w:p>
      <w:pPr>
        <w:pStyle w:val="BodyText"/>
      </w:pPr>
      <w:r>
        <w:t xml:space="preserve">Antes de aprobar una medida, documente la decisión que apoya, quién la utilizará, la acción que pueda seguir, la cadencia de la presentación de informes y la consecuencia del retraso o error. Las medidas deben retirarse cuando ya no influyen en una decisión, duplican una medida más fuerte o crean más costos de recogida que el valor de decisión.</w:t>
      </w:r>
    </w:p>
    <w:bookmarkEnd w:id="24"/>
    <w:bookmarkStart w:id="25" w:name="funciones-de-gobernanza"/>
    <w:p>
      <w:pPr>
        <w:pStyle w:val="Heading2"/>
      </w:pPr>
      <w:r>
        <w:t xml:space="preserve">Funciones de gobernanza</w:t>
      </w:r>
    </w:p>
    <w:p>
      <w:pPr>
        <w:pStyle w:val="FirstParagraph"/>
      </w:pPr>
      <w:r>
        <w:t xml:space="preserve">El órgano rector o comité delegado aprueba los objetivos de presentación de informes y el contexto del apetito de riesgo. La gestión ejecutiva posee decisiones y recursos. El propietario métrico mantiene la definición e interpretación. El propietario controla los datos de origen. El productor calcula y publica el resultado. Un revisor independiente comprueba fórmula, linaje, calidad y presentación. Los beneficiarios impugnan las suposiciones y registran decisiones.</w:t>
      </w:r>
    </w:p>
    <w:p>
      <w:pPr>
        <w:pStyle w:val="BodyText"/>
      </w:pPr>
      <w:r>
        <w:t xml:space="preserve">Ningún individuo debe ser capaz de redefinir una fórmula, alterar un umbral, suprimir un resultado desfavorable, y aprobar el informe final sin revisión independiente.</w:t>
      </w:r>
    </w:p>
    <w:bookmarkEnd w:id="25"/>
    <w:bookmarkStart w:id="26" w:name="clases-métricas"/>
    <w:p>
      <w:pPr>
        <w:pStyle w:val="Heading2"/>
      </w:pPr>
      <w:r>
        <w:t xml:space="preserve">Clases métricas</w:t>
      </w:r>
    </w:p>
    <w:p>
      <w:pPr>
        <w:pStyle w:val="FirstParagraph"/>
      </w:pPr>
      <w:r>
        <w:t xml:space="preserve">Use etiquetas explícitas en lugar de la palabra genérica</w:t>
      </w:r>
      <w:r>
        <w:t xml:space="preserve"> </w:t>
      </w:r>
      <w:r>
        <w:t xml:space="preserve">“</w:t>
      </w:r>
      <w:r>
        <w:t xml:space="preserve">métrica</w:t>
      </w:r>
      <w:r>
        <w:t xml:space="preserve">”</w:t>
      </w:r>
      <w:r>
        <w:t xml:space="preserve">. Las clases comunes incluyen:</w:t>
      </w:r>
    </w:p>
    <w:p>
      <w:pPr>
        <w:numPr>
          <w:ilvl w:val="0"/>
          <w:numId w:val="1002"/>
        </w:numPr>
        <w:pStyle w:val="Compact"/>
      </w:pPr>
      <w:r>
        <w:t xml:space="preserve">indicadores clave del desempeño, que describen los progresos en relación con un resultado operacional o programático previsto;</w:t>
      </w:r>
    </w:p>
    <w:p>
      <w:pPr>
        <w:numPr>
          <w:ilvl w:val="0"/>
          <w:numId w:val="1002"/>
        </w:numPr>
        <w:pStyle w:val="Compact"/>
      </w:pPr>
      <w:r>
        <w:t xml:space="preserve">indicadores clave de riesgo, que indican cambios de exposición o condiciones asociadas con el riesgo;</w:t>
      </w:r>
    </w:p>
    <w:p>
      <w:pPr>
        <w:numPr>
          <w:ilvl w:val="0"/>
          <w:numId w:val="1002"/>
        </w:numPr>
        <w:pStyle w:val="Compact"/>
      </w:pPr>
      <w:r>
        <w:t xml:space="preserve">indicadores clave de control, que describen la ejecución o condición de control;</w:t>
      </w:r>
    </w:p>
    <w:p>
      <w:pPr>
        <w:numPr>
          <w:ilvl w:val="0"/>
          <w:numId w:val="1002"/>
        </w:numPr>
        <w:pStyle w:val="Compact"/>
      </w:pPr>
      <w:r>
        <w:t xml:space="preserve">medidas de seguridad, que resumen la cobertura o los resultados de la evaluación sin sustituir las pruebas subyacentes;</w:t>
      </w:r>
    </w:p>
    <w:p>
      <w:pPr>
        <w:numPr>
          <w:ilvl w:val="0"/>
          <w:numId w:val="1002"/>
        </w:numPr>
        <w:pStyle w:val="Compact"/>
      </w:pPr>
      <w:r>
        <w:t xml:space="preserve">medidas de madurez, que describen la capacidad contra un modelo definido;</w:t>
      </w:r>
    </w:p>
    <w:p>
      <w:pPr>
        <w:numPr>
          <w:ilvl w:val="0"/>
          <w:numId w:val="1002"/>
        </w:numPr>
        <w:pStyle w:val="Compact"/>
      </w:pPr>
      <w:r>
        <w:t xml:space="preserve">medidas de actividad, que cuentan con trabajos realizados;</w:t>
      </w:r>
    </w:p>
    <w:p>
      <w:pPr>
        <w:numPr>
          <w:ilvl w:val="0"/>
          <w:numId w:val="1002"/>
        </w:numPr>
        <w:pStyle w:val="Compact"/>
      </w:pPr>
      <w:r>
        <w:t xml:space="preserve">medidas de resultados, que describen los resultados logrados;</w:t>
      </w:r>
    </w:p>
    <w:p>
      <w:pPr>
        <w:numPr>
          <w:ilvl w:val="0"/>
          <w:numId w:val="1002"/>
        </w:numPr>
        <w:pStyle w:val="Compact"/>
      </w:pPr>
      <w:r>
        <w:t xml:space="preserve">medidas de exposición, que describen la cantidad o concentración de activos, procesos, datos, obligaciones o servicios sujetos a riesgo.</w:t>
      </w:r>
    </w:p>
    <w:p>
      <w:pPr>
        <w:pStyle w:val="FirstParagraph"/>
      </w:pPr>
      <w:r>
        <w:t xml:space="preserve">Una medida puede ajustarse a más de una clase, pero su propósito de clase primaria y decisión aprobado debe ser registrado.</w:t>
      </w:r>
    </w:p>
    <w:bookmarkEnd w:id="26"/>
    <w:bookmarkStart w:id="27" w:name="diseño-de-cartera"/>
    <w:p>
      <w:pPr>
        <w:pStyle w:val="Heading2"/>
      </w:pPr>
      <w:r>
        <w:t xml:space="preserve">Diseño de cartera</w:t>
      </w:r>
    </w:p>
    <w:p>
      <w:pPr>
        <w:pStyle w:val="FirstParagraph"/>
      </w:pPr>
      <w:r>
        <w:t xml:space="preserve">Un portafolio equilibrado combina medidas de liderazgo y retraso, información cuantitativa y cualitativa, opiniones empresariales y locales, y medidas de actividad y resultados. Un dashboard hecho sólo de cuenta de actividad puede recompensar el volumen sin demostrar reducción de riesgo. Un dashboard hecho sólo de los resultados de retraso puede identificar el deterioro demasiado tarde.</w:t>
      </w:r>
    </w:p>
    <w:p>
      <w:pPr>
        <w:pStyle w:val="BodyText"/>
      </w:pPr>
      <w:r>
        <w:t xml:space="preserve">Cada cartera debe documentar lagunas de cobertura material, medidas duplicadas, puntos ciegos conocidos y áreas donde no existen datos fiables.</w:t>
      </w:r>
    </w:p>
    <w:bookmarkEnd w:id="27"/>
    <w:bookmarkStart w:id="28" w:name="límite-de-seguridad"/>
    <w:p>
      <w:pPr>
        <w:pStyle w:val="Heading2"/>
      </w:pPr>
      <w:r>
        <w:t xml:space="preserve">Límite de seguridad</w:t>
      </w:r>
    </w:p>
    <w:p>
      <w:pPr>
        <w:pStyle w:val="FirstParagraph"/>
      </w:pPr>
      <w:r>
        <w:t xml:space="preserve">Un puntaje favorable no prueba cumplimiento, seguridad, eficacia de control, garantía de auditoría o desempeño de negocios. Una métrica es evidencia de una condición definida bajo supuestos declarados. Las conclusiones exigen los registros subyacentes, el contexto, el juicio profesional y, cuando proceda, la evaluación independiente.</w:t>
      </w:r>
    </w:p>
    <w:bookmarkEnd w:id="28"/>
    <w:bookmarkEnd w:id="29"/>
    <w:bookmarkStart w:id="37" w:name="Xa1fcca83208f0b453827400b148b2069d4eb127"/>
    <w:p>
      <w:pPr>
        <w:pStyle w:val="Heading1"/>
      </w:pPr>
      <w:r>
        <w:t xml:space="preserve">Definiciones, Fórmulas, Alcance y Normalización</w:t>
      </w:r>
    </w:p>
    <w:bookmarkStart w:id="30" w:name="definición-controlada"/>
    <w:p>
      <w:pPr>
        <w:pStyle w:val="Heading2"/>
      </w:pPr>
      <w:r>
        <w:t xml:space="preserve">Definición controlada</w:t>
      </w:r>
    </w:p>
    <w:p>
      <w:pPr>
        <w:pStyle w:val="FirstParagraph"/>
      </w:pPr>
      <w:r>
        <w:t xml:space="preserve">Cada medida aprobada necesita una definición estable. Al mínimo, registre el nombre, identificador, clase, propósito, propietario, audiencia, alcance, población, reglas de inclusión y exclusión, numerador, denominador, unidad, fórmula, dirección de movimiento favorable, período de presentación de informes, frecuencia, fuentes de datos, método de cálculo, lógica umbral, limitaciones y versión.</w:t>
      </w:r>
    </w:p>
    <w:p>
      <w:pPr>
        <w:pStyle w:val="BodyText"/>
      </w:pPr>
      <w:r>
        <w:t xml:space="preserve">Una etiqueta como</w:t>
      </w:r>
      <w:r>
        <w:t xml:space="preserve"> </w:t>
      </w:r>
      <w:r>
        <w:t xml:space="preserve">“</w:t>
      </w:r>
      <w:r>
        <w:t xml:space="preserve">aplicación del parche</w:t>
      </w:r>
      <w:r>
        <w:t xml:space="preserve">”</w:t>
      </w:r>
      <w:r>
        <w:t xml:space="preserve"> </w:t>
      </w:r>
      <w:r>
        <w:t xml:space="preserve">es insuficiente. Se puede referir a dispositivos parcheados dentro de un objetivo de nivel de servicio, el porcentaje sin resultados críticos atrasados, o el porcentaje escaneado con éxito. Estas medidas son materialmente diferentes.</w:t>
      </w:r>
    </w:p>
    <w:bookmarkEnd w:id="30"/>
    <w:bookmarkStart w:id="31" w:name="numeradores-y-denominadores"/>
    <w:p>
      <w:pPr>
        <w:pStyle w:val="Heading2"/>
      </w:pPr>
      <w:r>
        <w:t xml:space="preserve">Numeradores y denominadores</w:t>
      </w:r>
    </w:p>
    <w:p>
      <w:pPr>
        <w:pStyle w:val="FirstParagraph"/>
      </w:pPr>
      <w:r>
        <w:t xml:space="preserve">Ratios debe definir tanto numerador como denominador en el mismo punto de tiempo y bajo reglas de alcance compatibles. Report excluded, unknown, unscanned, unavailable, and newly onboarded populations separately when they could change interpretation.</w:t>
      </w:r>
    </w:p>
    <w:p>
      <w:pPr>
        <w:pStyle w:val="BodyText"/>
      </w:pPr>
      <w:r>
        <w:t xml:space="preserve">No retire silenciosamente los registros fallidos, desaparecidos o tardíos del denominador. Si la calidad de los datos requiere exclusión, registre la razón, cantidad, aprobación y efecto sobre el resultado.</w:t>
      </w:r>
    </w:p>
    <w:bookmarkEnd w:id="31"/>
    <w:bookmarkStart w:id="32" w:name="controles-de-tiempo-y-cohortes"/>
    <w:p>
      <w:pPr>
        <w:pStyle w:val="Heading2"/>
      </w:pPr>
      <w:r>
        <w:t xml:space="preserve">Controles de tiempo y cohortes</w:t>
      </w:r>
    </w:p>
    <w:p>
      <w:pPr>
        <w:pStyle w:val="FirstParagraph"/>
      </w:pPr>
      <w:r>
        <w:t xml:space="preserve">Especifique si la medida es una instantánea puntual, total de período, promedio de rodaje, resultado de cohorte, valor acumulativo o tasa. Defina fechas de eventos, tiempos de corte, zonas horarias, artículos reabiertos y datos de última hora. Los períodos comparativos deben utilizar la duración y el alcance equivalentes a menos que el informe revele la diferencia.</w:t>
      </w:r>
    </w:p>
    <w:bookmarkEnd w:id="32"/>
    <w:bookmarkStart w:id="33" w:name="normalización"/>
    <w:p>
      <w:pPr>
        <w:pStyle w:val="Heading2"/>
      </w:pPr>
      <w:r>
        <w:t xml:space="preserve">Normalización</w:t>
      </w:r>
    </w:p>
    <w:p>
      <w:pPr>
        <w:pStyle w:val="FirstParagraph"/>
      </w:pPr>
      <w:r>
        <w:t xml:space="preserve">Las cuentas crudas pueden ser engañosas cuando el tamaño de la organización o los cambios de exposición. Normalizar sólo cuando el denominador representa el contexto de decisión. Ejemplos incluyen incidentes por mil puntos finales, acciones atrasadas por hallazgo activo, o excepciones por proveedor material. Publish the raw count with the normalized rate when both are relevant.</w:t>
      </w:r>
    </w:p>
    <w:p>
      <w:pPr>
        <w:pStyle w:val="BodyText"/>
      </w:pPr>
      <w:r>
        <w:t xml:space="preserve">La normalización no debe ocultar el riesgo de concentración. Una baja tasa de toda la empresa puede coexistir con una grave exposición en una unidad de negocio, jurisdicción, plataforma o servicio crítico.</w:t>
      </w:r>
    </w:p>
    <w:bookmarkEnd w:id="33"/>
    <w:bookmarkStart w:id="34" w:name="aggregation"/>
    <w:p>
      <w:pPr>
        <w:pStyle w:val="Heading2"/>
      </w:pPr>
      <w:r>
        <w:t xml:space="preserve">Aggregation</w:t>
      </w:r>
    </w:p>
    <w:p>
      <w:pPr>
        <w:pStyle w:val="FirstParagraph"/>
      </w:pPr>
      <w:r>
        <w:t xml:space="preserve">No porcentajes promedio con denominadores desiguales a menos que el método sea matemáticamente apropiado y documentado. La agregación de la empresa normalmente debe volver a calcular de numeradores y denominadores fuente o utilizar un modelo de ponderación aprobado. Grabar pesos, racionalidad, sensibilidad y distorsión conocida.</w:t>
      </w:r>
    </w:p>
    <w:p>
      <w:pPr>
        <w:pStyle w:val="BodyText"/>
      </w:pPr>
      <w:r>
        <w:t xml:space="preserve">Los estados rojos, ámbares y verdes deben derivarse de reglas documentadas. Evite el promedio de las puntuaciones de madurez ordinal o los estados de trafico como si fueran datos de intervalos a menos que el modelo aprobado apoye explícitamente ese tratamiento.</w:t>
      </w:r>
    </w:p>
    <w:bookmarkEnd w:id="34"/>
    <w:bookmarkStart w:id="35" w:name="cambios-y-reinstalación"/>
    <w:p>
      <w:pPr>
        <w:pStyle w:val="Heading2"/>
      </w:pPr>
      <w:r>
        <w:t xml:space="preserve">Cambios y reinstalación</w:t>
      </w:r>
    </w:p>
    <w:p>
      <w:pPr>
        <w:pStyle w:val="FirstParagraph"/>
      </w:pPr>
      <w:r>
        <w:t xml:space="preserve">Los cambios de fórmula, alcance, umbral, fuente o frecuencia requieren control de versiones y evaluación de impacto. Determinar si los períodos anteriores deben ser recalculados. Si no se reinicia, marque la ruptura de serie y explique por qué las comparaciones son limitadas.</w:t>
      </w:r>
    </w:p>
    <w:bookmarkEnd w:id="35"/>
    <w:bookmarkStart w:id="36" w:name="reproducibilidad"/>
    <w:p>
      <w:pPr>
        <w:pStyle w:val="Heading2"/>
      </w:pPr>
      <w:r>
        <w:t xml:space="preserve">Reproducibilidad</w:t>
      </w:r>
    </w:p>
    <w:p>
      <w:pPr>
        <w:pStyle w:val="FirstParagraph"/>
      </w:pPr>
      <w:r>
        <w:t xml:space="preserve">Un revisor independiente debe poder reproducir el resultado de datos de origen retenidos, reglas de transformación, lógica de código o libro de trabajo, y la definición aprobada. Los ajustes manuales deben conservar el valor original, el valor revisado, la razón, el aprobador, la fecha y la prueba de apoyo.</w:t>
      </w:r>
    </w:p>
    <w:bookmarkEnd w:id="36"/>
    <w:bookmarkEnd w:id="37"/>
    <w:bookmarkStart w:id="45" w:name="línea-de-datos-calidad-y-validación"/>
    <w:p>
      <w:pPr>
        <w:pStyle w:val="Heading1"/>
      </w:pPr>
      <w:r>
        <w:t xml:space="preserve">Línea de datos, calidad y validación</w:t>
      </w:r>
    </w:p>
    <w:bookmarkStart w:id="38" w:name="lineaje"/>
    <w:p>
      <w:pPr>
        <w:pStyle w:val="Heading2"/>
      </w:pPr>
      <w:r>
        <w:t xml:space="preserve">Lineaje</w:t>
      </w:r>
    </w:p>
    <w:p>
      <w:pPr>
        <w:pStyle w:val="FirstParagraph"/>
      </w:pPr>
      <w:r>
        <w:t xml:space="preserve">Cada resultado reportado debe rastrear los sistemas de fuentes autorizados, extractos, transformaciones, cálculos, ajustes y salidas de publicación. Propietarios de fuentes de discos, identificadores de sistemas, nombres de consulta o reportaje, timetamps de extracción, filtros, uniones, tablas de mapeo y ubicaciones de almacenamiento.</w:t>
      </w:r>
    </w:p>
    <w:p>
      <w:pPr>
        <w:pStyle w:val="BodyText"/>
      </w:pPr>
      <w:r>
        <w:t xml:space="preserve">Capturas de pantalla y totales copiados manualmente pueden apoyar la revisión, pero no debe sustituir la evidencia fuente reproducible cuando los datos del sistema están disponibles.</w:t>
      </w:r>
    </w:p>
    <w:bookmarkEnd w:id="38"/>
    <w:bookmarkStart w:id="39" w:name="dimensiones-de-calidad"/>
    <w:p>
      <w:pPr>
        <w:pStyle w:val="Heading2"/>
      </w:pPr>
      <w:r>
        <w:t xml:space="preserve">Dimensiones de calidad</w:t>
      </w:r>
    </w:p>
    <w:p>
      <w:pPr>
        <w:pStyle w:val="FirstParagraph"/>
      </w:pPr>
      <w:r>
        <w:t xml:space="preserve">Evaluar al menos la integridad, exactitud, validez, consistencia, puntualidad, singularidad y trazabilidad. Definir los criterios de aceptación apropiados a la decisión. Un informe de la junta puede requerir una validación más fuerte que una visión operacional exploratoria.</w:t>
      </w:r>
    </w:p>
    <w:p>
      <w:pPr>
        <w:pStyle w:val="BodyText"/>
      </w:pPr>
      <w:r>
        <w:t xml:space="preserve">Los valores desconocidos y desaparecidos son datos, no cero. Informe su cantidad y su posible efecto. No convierta</w:t>
      </w:r>
      <w:r>
        <w:t xml:space="preserve"> </w:t>
      </w:r>
      <w:r>
        <w:t xml:space="preserve">“</w:t>
      </w:r>
      <w:r>
        <w:t xml:space="preserve">no evaluada</w:t>
      </w:r>
      <w:r>
        <w:t xml:space="preserve">”</w:t>
      </w:r>
      <w:r>
        <w:t xml:space="preserve">,</w:t>
      </w:r>
      <w:r>
        <w:t xml:space="preserve"> </w:t>
      </w:r>
      <w:r>
        <w:t xml:space="preserve">“</w:t>
      </w:r>
      <w:r>
        <w:t xml:space="preserve">no aplicable</w:t>
      </w:r>
      <w:r>
        <w:t xml:space="preserve">”</w:t>
      </w:r>
      <w:r>
        <w:t xml:space="preserve">, y</w:t>
      </w:r>
      <w:r>
        <w:t xml:space="preserve"> </w:t>
      </w:r>
      <w:r>
        <w:t xml:space="preserve">“</w:t>
      </w:r>
      <w:r>
        <w:t xml:space="preserve">ningún problema</w:t>
      </w:r>
      <w:r>
        <w:t xml:space="preserve">”</w:t>
      </w:r>
      <w:r>
        <w:t xml:space="preserve"> </w:t>
      </w:r>
      <w:r>
        <w:t xml:space="preserve">en el mismo valor.</w:t>
      </w:r>
    </w:p>
    <w:bookmarkEnd w:id="39"/>
    <w:bookmarkStart w:id="40" w:name="controles-de-validación"/>
    <w:p>
      <w:pPr>
        <w:pStyle w:val="Heading2"/>
      </w:pPr>
      <w:r>
        <w:t xml:space="preserve">Controles de validación</w:t>
      </w:r>
    </w:p>
    <w:p>
      <w:pPr>
        <w:pStyle w:val="FirstParagraph"/>
      </w:pPr>
      <w:r>
        <w:t xml:space="preserve">Utilice esquema automatizado, rango, tipo, duplicado, reconciliación y cheques de integridad de referencia donde sea práctico. Agregue revisión de la razonabilidad, muestreo fuente a informe, comparación de períodos anteriores y revisión de fórmula independiente.</w:t>
      </w:r>
    </w:p>
    <w:p>
      <w:pPr>
        <w:pStyle w:val="BodyText"/>
      </w:pPr>
      <w:r>
        <w:t xml:space="preserve">Las excepciones de calidad deben identificar la métrica, el período, los registros, la causa raíz, el efecto estimado, el examen compensatorio, el propietario, la acción correctiva y la decisión sobre publicación.</w:t>
      </w:r>
    </w:p>
    <w:bookmarkEnd w:id="40"/>
    <w:bookmarkStart w:id="41" w:name="timeliness"/>
    <w:p>
      <w:pPr>
        <w:pStyle w:val="Heading2"/>
      </w:pPr>
      <w:r>
        <w:t xml:space="preserve">Timeliness</w:t>
      </w:r>
    </w:p>
    <w:p>
      <w:pPr>
        <w:pStyle w:val="FirstParagraph"/>
      </w:pPr>
      <w:r>
        <w:t xml:space="preserve">Defina la fecha de medición, corte de datos, tiempo de extracción, cadencia de refrescar y latencia esperada. Un resultado de establo calculado con precisión todavía puede malinterpretar. Los informes deben revelar retrasos materiales y si los datos tardíos desencadenan el reinicio.</w:t>
      </w:r>
    </w:p>
    <w:bookmarkEnd w:id="41"/>
    <w:bookmarkStart w:id="42" w:name="control-de-cambio"/>
    <w:p>
      <w:pPr>
        <w:pStyle w:val="Heading2"/>
      </w:pPr>
      <w:r>
        <w:t xml:space="preserve">Control de cambio</w:t>
      </w:r>
    </w:p>
    <w:p>
      <w:pPr>
        <w:pStyle w:val="FirstParagraph"/>
      </w:pPr>
      <w:r>
        <w:t xml:space="preserve">Los cambios del sistema de fuentes, la renombración de campo, las migraciones, las nuevas unidades de negocio, las adquisiciones y el rediseño de procesos pueden romper la comparabilidad. Los propietarios de datos deben notificar a los propietarios métricos antes de la implementación cuando sea posible. Validar el mapeo y los resultados de funcionamiento paralelo antes de depender del oleoducto revisado.</w:t>
      </w:r>
    </w:p>
    <w:bookmarkEnd w:id="42"/>
    <w:bookmarkStart w:id="43" w:name="acceso-y-retención"/>
    <w:p>
      <w:pPr>
        <w:pStyle w:val="Heading2"/>
      </w:pPr>
      <w:r>
        <w:t xml:space="preserve">Acceso y retención</w:t>
      </w:r>
    </w:p>
    <w:p>
      <w:pPr>
        <w:pStyle w:val="FirstParagraph"/>
      </w:pPr>
      <w:r>
        <w:t xml:space="preserve">Restringir fuente y datos intermedios según sensibilidad. Retener pruebas suficientes para reproducir los resultados notificados y el examen de apoyo, observando al mismo tiempo la privacidad, contractual, gestión de registros y requisitos legales.</w:t>
      </w:r>
    </w:p>
    <w:bookmarkEnd w:id="43"/>
    <w:bookmarkStart w:id="44" w:name="calidad"/>
    <w:p>
      <w:pPr>
        <w:pStyle w:val="Heading2"/>
      </w:pPr>
      <w:r>
        <w:t xml:space="preserve">Calidad</w:t>
      </w:r>
    </w:p>
    <w:p>
      <w:pPr>
        <w:pStyle w:val="FirstParagraph"/>
      </w:pPr>
      <w:r>
        <w:t xml:space="preserve">Una calificación de calidad debe resumir las pruebas documentadas, no reemplazarlas. Definir la escala de calificación, evidencia, revisor y efecto sobre el uso. Si la calidad está por debajo del mínimo aprobado, suprima el resultado o lo publique con una limitación prominente y un fundamento de decisión aprobado.</w:t>
      </w:r>
    </w:p>
    <w:bookmarkEnd w:id="44"/>
    <w:bookmarkEnd w:id="45"/>
    <w:bookmarkStart w:id="54" w:name="Xf610c8149d98fb3fd96cf97c5b351722555f586"/>
    <w:p>
      <w:pPr>
        <w:pStyle w:val="Heading1"/>
      </w:pPr>
      <w:r>
        <w:t xml:space="preserve">Bases, Metas, Umbrales, Tendencias y Parámetros</w:t>
      </w:r>
    </w:p>
    <w:bookmarkStart w:id="46" w:name="bases"/>
    <w:p>
      <w:pPr>
        <w:pStyle w:val="Heading2"/>
      </w:pPr>
      <w:r>
        <w:t xml:space="preserve">Bases</w:t>
      </w:r>
    </w:p>
    <w:p>
      <w:pPr>
        <w:pStyle w:val="FirstParagraph"/>
      </w:pPr>
      <w:r>
        <w:t xml:space="preserve">Una línea de referencia es la condición de referencia aprobada para la comparación. Grabar el período, alcance, población, versión de cálculo, calidad de datos y eventos excepcionales. Rebaseline sólo mediante la aprobación controlada cuando el cambio estructural hace la referencia original engañosa.</w:t>
      </w:r>
    </w:p>
    <w:bookmarkEnd w:id="46"/>
    <w:bookmarkStart w:id="47" w:name="metas"/>
    <w:p>
      <w:pPr>
        <w:pStyle w:val="Heading2"/>
      </w:pPr>
      <w:r>
        <w:t xml:space="preserve">Metas</w:t>
      </w:r>
    </w:p>
    <w:p>
      <w:pPr>
        <w:pStyle w:val="FirstParagraph"/>
      </w:pPr>
      <w:r>
        <w:t xml:space="preserve">Los objetivos expresan un resultado previsto para un período declarado. Vincular objetivos a estrategias, apetito de riesgo, obligaciones, capacidad y planes aprobados. Distinguir los objetivos aspiracionales de los compromisos financiados. Un objetivo no debe ser seleccionado simplemente porque produce un dashboard favorable.</w:t>
      </w:r>
    </w:p>
    <w:bookmarkEnd w:id="47"/>
    <w:bookmarkStart w:id="48" w:name="umbral"/>
    <w:p>
      <w:pPr>
        <w:pStyle w:val="Heading2"/>
      </w:pPr>
      <w:r>
        <w:t xml:space="preserve">Umbral</w:t>
      </w:r>
    </w:p>
    <w:p>
      <w:pPr>
        <w:pStyle w:val="FirstParagraph"/>
      </w:pPr>
      <w:r>
        <w:t xml:space="preserve">Los ganchos activan la atención o la acción. Definir el límite exacto, dirección, regla de persistencia, muestra mínima, severidad, propietario, tiempo de respuesta y camino de escalada. Documentar si una sola brecha, una ruptura repetida o una tendencia desencadena una escalada.</w:t>
      </w:r>
    </w:p>
    <w:p>
      <w:pPr>
        <w:pStyle w:val="BodyText"/>
      </w:pPr>
      <w:r>
        <w:t xml:space="preserve">Los colores de trafico son dispositivos de presentación. Los criterios numéricos o cualitativos subyacentes, la incertidumbre y las excepciones deben permanecer visibles.</w:t>
      </w:r>
    </w:p>
    <w:bookmarkEnd w:id="48"/>
    <w:bookmarkStart w:id="49" w:name="tendencias-y-diferencias"/>
    <w:p>
      <w:pPr>
        <w:pStyle w:val="Heading2"/>
      </w:pPr>
      <w:r>
        <w:t xml:space="preserve">Tendencias y diferencias</w:t>
      </w:r>
    </w:p>
    <w:p>
      <w:pPr>
        <w:pStyle w:val="FirstParagraph"/>
      </w:pPr>
      <w:r>
        <w:t xml:space="preserve">Mostrar períodos suficientes para distinguir ruido, estacionalidad y movimiento sostenido. Explicar cambios de alcance, denominador, fuente o fórmula. Compare los resultados efectivos con la base de referencia, el objetivo, el período anterior y las previsiones sólo cuando las definiciones sigan siendo comparables.</w:t>
      </w:r>
    </w:p>
    <w:p>
      <w:pPr>
        <w:pStyle w:val="BodyText"/>
      </w:pPr>
      <w:r>
        <w:t xml:space="preserve">Investigar la varianza favorable y desfavorable. La mejora repentina puede resultar de pérdida de denominadores, datos retardados, reclasificación o reducción de detección.</w:t>
      </w:r>
    </w:p>
    <w:bookmarkEnd w:id="49"/>
    <w:bookmarkStart w:id="50" w:name="advertencia-estadística"/>
    <w:p>
      <w:pPr>
        <w:pStyle w:val="Heading2"/>
      </w:pPr>
      <w:r>
        <w:t xml:space="preserve">Advertencia estadística</w:t>
      </w:r>
    </w:p>
    <w:p>
      <w:pPr>
        <w:pStyle w:val="FirstParagraph"/>
      </w:pPr>
      <w:r>
        <w:t xml:space="preserve">Use intervalos de confianza, límites de control u otras técnicas estadísticas sólo cuando las suposiciones y características de la muestra las apoyen. No implica precisión más allá de los datos. Las poblaciones pequeñas, los acontecimientos raros y las observaciones dependientes requieren precaución explícita.</w:t>
      </w:r>
    </w:p>
    <w:bookmarkEnd w:id="50"/>
    <w:bookmarkStart w:id="51" w:name="criterios"/>
    <w:p>
      <w:pPr>
        <w:pStyle w:val="Heading2"/>
      </w:pPr>
      <w:r>
        <w:t xml:space="preserve">Criterios</w:t>
      </w:r>
    </w:p>
    <w:p>
      <w:pPr>
        <w:pStyle w:val="FirstParagraph"/>
      </w:pPr>
      <w:r>
        <w:t xml:space="preserve">Los parámetros externos requieren fuente, población, industria, geografía, tamaño, período, definición y examen de licencias. Un punto de referencia con un denominador diferente o un incentivo de presentación de informes puede no ser comparable. Las comparaciones internas entre pares requieren un alcance equivalente y controles de calidad.</w:t>
      </w:r>
    </w:p>
    <w:p>
      <w:pPr>
        <w:pStyle w:val="BodyText"/>
      </w:pPr>
      <w:r>
        <w:t xml:space="preserve">La posición de referencia no establece la idoneidad. Un promedio débil de la industria no es un objetivo de riesgo defensible, y un puntaje de sobrepromedio no prueba cumplimiento o seguridad.</w:t>
      </w:r>
    </w:p>
    <w:bookmarkEnd w:id="51"/>
    <w:bookmarkStart w:id="52" w:name="predicciones-y-escenarios"/>
    <w:p>
      <w:pPr>
        <w:pStyle w:val="Heading2"/>
      </w:pPr>
      <w:r>
        <w:t xml:space="preserve">Predicciones y escenarios</w:t>
      </w:r>
    </w:p>
    <w:p>
      <w:pPr>
        <w:pStyle w:val="FirstParagraph"/>
      </w:pPr>
      <w:r>
        <w:t xml:space="preserve">Separar los resultados observados de las previsiones y escenarios. Hipótesis de registro, propietario del modelo, confianza, sensibilidad y fecha de actualización. No mezcle los valores pronósticos en el rendimiento real sin etiquetas claras.</w:t>
      </w:r>
    </w:p>
    <w:bookmarkEnd w:id="52"/>
    <w:bookmarkStart w:id="53" w:name="escala"/>
    <w:p>
      <w:pPr>
        <w:pStyle w:val="Heading2"/>
      </w:pPr>
      <w:r>
        <w:t xml:space="preserve">Escala</w:t>
      </w:r>
    </w:p>
    <w:p>
      <w:pPr>
        <w:pStyle w:val="FirstParagraph"/>
      </w:pPr>
      <w:r>
        <w:t xml:space="preserve">Cada violación material o tendencia adversa debe producir una decisión de propiedad: aceptar con racionalidad, investigar, corregir datos, cambiar un control, ajustar recursos, revisar el objetivo o escalar. Retener las pruebas de decisión y conclusión en el rastreador de acciones.</w:t>
      </w:r>
    </w:p>
    <w:bookmarkEnd w:id="53"/>
    <w:bookmarkEnd w:id="54"/>
    <w:bookmarkStart w:id="63" w:name="executive-and-board-reporting"/>
    <w:p>
      <w:pPr>
        <w:pStyle w:val="Heading1"/>
      </w:pPr>
      <w:r>
        <w:t xml:space="preserve">Executive and Board Reporting</w:t>
      </w:r>
    </w:p>
    <w:bookmarkStart w:id="55" w:name="audiencia-y-enfoque-de-decisión"/>
    <w:p>
      <w:pPr>
        <w:pStyle w:val="Heading2"/>
      </w:pPr>
      <w:r>
        <w:t xml:space="preserve">Audiencia y enfoque de decisión</w:t>
      </w:r>
    </w:p>
    <w:p>
      <w:pPr>
        <w:pStyle w:val="FirstParagraph"/>
      </w:pPr>
      <w:r>
        <w:t xml:space="preserve">Los informes ejecutivos y de la junta directiva deben conducir con decisiones, exposición material, tendencia, confianza y medidas necesarias. El detalle operacional pertenece a los calendarios de apoyo a menos que cambie la decisión.</w:t>
      </w:r>
    </w:p>
    <w:p>
      <w:pPr>
        <w:pStyle w:val="BodyText"/>
      </w:pPr>
      <w:r>
        <w:t xml:space="preserve">Definir el receptor, el mandato de gobernanza, el período de presentación de informes, el contexto del apetito de riesgo y las decisiones previstas. Destinguir la información sobre la gestión de los informes oficiales de las juntas directivas y preservar el registro aprobado.</w:t>
      </w:r>
    </w:p>
    <w:bookmarkEnd w:id="55"/>
    <w:bookmarkStart w:id="56" w:name="estructura-de-puntuación"/>
    <w:p>
      <w:pPr>
        <w:pStyle w:val="Heading2"/>
      </w:pPr>
      <w:r>
        <w:t xml:space="preserve">Estructura de puntuación</w:t>
      </w:r>
    </w:p>
    <w:p>
      <w:pPr>
        <w:pStyle w:val="FirstParagraph"/>
      </w:pPr>
      <w:r>
        <w:t xml:space="preserve">Un marcador útil normalmente incluye el nombre métrico, resultado actual, objetivo o umbral, resultado anterior, tendencia, alcance, estado de calidad de los datos, interpretación concisa, propietario, acción, fecha de vencimiento y estado de escalada. Mostrar el valor subyacente en lugar de color solo.</w:t>
      </w:r>
    </w:p>
    <w:p>
      <w:pPr>
        <w:pStyle w:val="BodyText"/>
      </w:pPr>
      <w:r>
        <w:t xml:space="preserve">Medidas de grupo por objetivo estratégico, riesgo material, obligación, dominio de control o servicio de negocios. Evite una sola partitura compuesta a menos que la ponderación, sensibilidad y limitaciones sean aprobadas y transparentes.</w:t>
      </w:r>
    </w:p>
    <w:bookmarkEnd w:id="56"/>
    <w:bookmarkStart w:id="57" w:name="interpretación-narrativa"/>
    <w:p>
      <w:pPr>
        <w:pStyle w:val="Heading2"/>
      </w:pPr>
      <w:r>
        <w:t xml:space="preserve">Interpretación narrativa</w:t>
      </w:r>
    </w:p>
    <w:p>
      <w:pPr>
        <w:pStyle w:val="FirstParagraph"/>
      </w:pPr>
      <w:r>
        <w:t xml:space="preserve">La narrativa debe explicar lo que ha cambiado, por qué importa, lo que se sabe, lo que sigue siendo incierto, qué gestión está haciendo, y qué decisión se solicita. Datos separados, análisis, suposición, pronóstico y recomendación.</w:t>
      </w:r>
    </w:p>
    <w:p>
      <w:pPr>
        <w:pStyle w:val="BodyText"/>
      </w:pPr>
      <w:r>
        <w:t xml:space="preserve">No use lenguaje positivo para ocultar una brecha o lenguaje negativo para exagerar una pequeña fluctuación. Limitaciones de datos materiales estatales cerca de la conclusión que afectan.</w:t>
      </w:r>
    </w:p>
    <w:bookmarkEnd w:id="57"/>
    <w:bookmarkStart w:id="58" w:name="escalas-y-excepciones"/>
    <w:p>
      <w:pPr>
        <w:pStyle w:val="Heading2"/>
      </w:pPr>
      <w:r>
        <w:t xml:space="preserve">Escalas y excepciones</w:t>
      </w:r>
    </w:p>
    <w:p>
      <w:pPr>
        <w:pStyle w:val="FirstParagraph"/>
      </w:pPr>
      <w:r>
        <w:t xml:space="preserve">Report threshold breaches, overdue actions, accepted exceptions, repeated control failures, material data-quality problems, and disagreement among accountable functions. Registro que aceptó el riesgo residual y bajo qué autoridad.</w:t>
      </w:r>
    </w:p>
    <w:bookmarkEnd w:id="58"/>
    <w:bookmarkStart w:id="59" w:name="aggregación-y-perforación"/>
    <w:p>
      <w:pPr>
        <w:pStyle w:val="Heading2"/>
      </w:pPr>
      <w:r>
        <w:t xml:space="preserve">Aggregación y perforación</w:t>
      </w:r>
    </w:p>
    <w:p>
      <w:pPr>
        <w:pStyle w:val="FirstParagraph"/>
      </w:pPr>
      <w:r>
        <w:t xml:space="preserve">Los resúmenes de las empresas deben permitir la perforación hacia la unidad de negocios, el servicio, la jurisdicción, la clase de activos o la obligación en los asuntos de concentración. La agregación no debe ocultar una condición local crítica.</w:t>
      </w:r>
    </w:p>
    <w:bookmarkEnd w:id="59"/>
    <w:bookmarkStart w:id="60" w:name="actas-de-reunión-y-decisión"/>
    <w:p>
      <w:pPr>
        <w:pStyle w:val="Heading2"/>
      </w:pPr>
      <w:r>
        <w:t xml:space="preserve">Actas de reunión y decisión</w:t>
      </w:r>
    </w:p>
    <w:p>
      <w:pPr>
        <w:pStyle w:val="FirstParagraph"/>
      </w:pPr>
      <w:r>
        <w:t xml:space="preserve">Retain the report version presented, attendees, questions, challenges, decisions, assigned actions, due dates, and later closure evidence. Las correcciones después de la distribución requieren reedición controlada y aviso a los receptores.</w:t>
      </w:r>
    </w:p>
    <w:bookmarkEnd w:id="60"/>
    <w:bookmarkStart w:id="61" w:name="confidencialidad-y-accesibilidad"/>
    <w:p>
      <w:pPr>
        <w:pStyle w:val="Heading2"/>
      </w:pPr>
      <w:r>
        <w:t xml:space="preserve">Confidencialidad y accesibilidad</w:t>
      </w:r>
    </w:p>
    <w:p>
      <w:pPr>
        <w:pStyle w:val="FirstParagraph"/>
      </w:pPr>
      <w:r>
        <w:t xml:space="preserve">Clasifique los informes según sensibilidad y restrinja la distribución. Evite datos personales o de clientes innecesarios. Use encabezados significativos, tablas legibles, indicadores no color, siglas definidas y formatos de fuente accesibles.</w:t>
      </w:r>
    </w:p>
    <w:bookmarkEnd w:id="61"/>
    <w:bookmarkStart w:id="62" w:name="límite-de-seguridad-1"/>
    <w:p>
      <w:pPr>
        <w:pStyle w:val="Heading2"/>
      </w:pPr>
      <w:r>
        <w:t xml:space="preserve">Límite de seguridad</w:t>
      </w:r>
    </w:p>
    <w:p>
      <w:pPr>
        <w:pStyle w:val="FirstParagraph"/>
      </w:pPr>
      <w:r>
        <w:t xml:space="preserve">El examen de la Junta no valida los datos de la fuente ni establece garantías. Un dashboard no es una certificación. Los informes deben indicar el alcance, la metodología, el estado de calidad y las limitaciones de la revisión humana necesarias para la interpretación responsable.</w:t>
      </w:r>
    </w:p>
    <w:bookmarkEnd w:id="62"/>
    <w:bookmarkEnd w:id="63"/>
    <w:bookmarkStart w:id="71" w:name="X0f2f4e3e845d720ac1a530386c9bb8601bd247a"/>
    <w:p>
      <w:pPr>
        <w:pStyle w:val="Heading1"/>
      </w:pPr>
      <w:r>
        <w:t xml:space="preserve">Lifecycle Review, Actions, and Assurance Boundaries</w:t>
      </w:r>
    </w:p>
    <w:bookmarkStart w:id="64" w:name="examen-periódico"/>
    <w:p>
      <w:pPr>
        <w:pStyle w:val="Heading2"/>
      </w:pPr>
      <w:r>
        <w:t xml:space="preserve">Examen periódico</w:t>
      </w:r>
    </w:p>
    <w:p>
      <w:pPr>
        <w:pStyle w:val="FirstParagraph"/>
      </w:pPr>
      <w:r>
        <w:t xml:space="preserve">Revise cada métrica en una cadencia aprobada y después de cambios materiales. Confirme que el propósito de la decisión todavía existe, la definición sigue siendo clara, la fuente es autorizada, la fórmula es correcta, la población está completa, el umbral sigue siendo significativo, y los receptores todavía actúan en el resultado.</w:t>
      </w:r>
    </w:p>
    <w:p>
      <w:pPr>
        <w:pStyle w:val="BodyText"/>
      </w:pPr>
      <w:r>
        <w:t xml:space="preserve">La revisión debe considerar costos de recogida, duplicación, riesgo de manipulación, incentivos no deseados, impacto de privacidad, accesibilidad, y si la medida impulsa el comportamiento que la organización pretendía.</w:t>
      </w:r>
    </w:p>
    <w:bookmarkEnd w:id="64"/>
    <w:bookmarkStart w:id="65" w:name="desafío-y-aprobación"/>
    <w:p>
      <w:pPr>
        <w:pStyle w:val="Heading2"/>
      </w:pPr>
      <w:r>
        <w:t xml:space="preserve">Desafío y aprobación</w:t>
      </w:r>
    </w:p>
    <w:p>
      <w:pPr>
        <w:pStyle w:val="FirstParagraph"/>
      </w:pPr>
      <w:r>
        <w:t xml:space="preserve">Los propietarios métricos deben presentar cambios de definición, excepciones, diferencias inexplicables y preocupaciones de calidad a un examinador apropiado. Los cambios materiales requieren aprobación antes de que el resultado revisado se utilice para la comparación o decisiones ejecutivas.</w:t>
      </w:r>
    </w:p>
    <w:bookmarkEnd w:id="65"/>
    <w:bookmarkStart w:id="66" w:name="medidas-y-decisiones"/>
    <w:p>
      <w:pPr>
        <w:pStyle w:val="Heading2"/>
      </w:pPr>
      <w:r>
        <w:t xml:space="preserve">Medidas y decisiones</w:t>
      </w:r>
    </w:p>
    <w:p>
      <w:pPr>
        <w:pStyle w:val="FirstParagraph"/>
      </w:pPr>
      <w:r>
        <w:t xml:space="preserve">Una métrica sólo tiene valor de gobernanza cuando los resultados materiales producen decisiones documentadas. Use the action and decision tracker to record the trigger, analysis, decision authority, action owner, resources, due date, dependency, escalation, completion evidence, and residual concern.</w:t>
      </w:r>
    </w:p>
    <w:p>
      <w:pPr>
        <w:pStyle w:val="BodyText"/>
      </w:pPr>
      <w:r>
        <w:t xml:space="preserve">Cerrar una acción no resuelve automáticamente el riesgo subyacente. Validar el resultado previsto y determinar si el métrica, umbral o control necesita revisión.</w:t>
      </w:r>
    </w:p>
    <w:bookmarkEnd w:id="66"/>
    <w:bookmarkStart w:id="67" w:name="retiro"/>
    <w:p>
      <w:pPr>
        <w:pStyle w:val="Heading2"/>
      </w:pPr>
      <w:r>
        <w:t xml:space="preserve">Retiro</w:t>
      </w:r>
    </w:p>
    <w:p>
      <w:pPr>
        <w:pStyle w:val="FirstParagraph"/>
      </w:pPr>
      <w:r>
        <w:t xml:space="preserve">Las medidas restrictivas que ya no apoyan una decisión, no pueden producirse de manera fiable, duplicar medidas más fuertes, crear incentivos nocivos o han sido reemplazadas. Recordar la fecha de jubilación, aprobación, sucesor, decisión de retención de datos y efecto en los informes históricos.</w:t>
      </w:r>
    </w:p>
    <w:p>
      <w:pPr>
        <w:pStyle w:val="BodyText"/>
      </w:pPr>
      <w:r>
        <w:t xml:space="preserve">No borre definiciones o resultados históricos necesarios para entender decisiones anteriores. Marcar las medidas retiradas claramente para que no se reutilizan sin revisión.</w:t>
      </w:r>
    </w:p>
    <w:bookmarkEnd w:id="67"/>
    <w:bookmarkStart w:id="68" w:name="mejora-continua"/>
    <w:p>
      <w:pPr>
        <w:pStyle w:val="Heading2"/>
      </w:pPr>
      <w:r>
        <w:t xml:space="preserve">Mejora continua</w:t>
      </w:r>
    </w:p>
    <w:p>
      <w:pPr>
        <w:pStyle w:val="FirstParagraph"/>
      </w:pPr>
      <w:r>
        <w:t xml:space="preserve">Utilice errores de reporte, observaciones de auditoría, comentarios de los receptores, señales perdidas, falsas alarmas y resultados de acción para mejorar la cartera. Probar si las medidas detectadas cambian lo suficientemente temprano y si los umbrales conducen a una acción proporcional.</w:t>
      </w:r>
    </w:p>
    <w:bookmarkEnd w:id="68"/>
    <w:bookmarkStart w:id="69" w:name="examen-independiente"/>
    <w:p>
      <w:pPr>
        <w:pStyle w:val="Heading2"/>
      </w:pPr>
      <w:r>
        <w:t xml:space="preserve">Examen independiente</w:t>
      </w:r>
    </w:p>
    <w:p>
      <w:pPr>
        <w:pStyle w:val="FirstParagraph"/>
      </w:pPr>
      <w:r>
        <w:t xml:space="preserve">Cuando las reservas lo justifiquen, use auditoría interna, supervisión de riesgos, garantía de calidad, gobernanza de datos u otra función independiente para examinar determinadas definiciones, cálculos, linaje y controles de presentación de informes. El alcance y las conclusiones deben ser explícitas.</w:t>
      </w:r>
    </w:p>
    <w:bookmarkEnd w:id="69"/>
    <w:bookmarkStart w:id="70" w:name="límites-de-seguridad"/>
    <w:p>
      <w:pPr>
        <w:pStyle w:val="Heading2"/>
      </w:pPr>
      <w:r>
        <w:t xml:space="preserve">Límites de seguridad</w:t>
      </w:r>
    </w:p>
    <w:p>
      <w:pPr>
        <w:pStyle w:val="FirstParagraph"/>
      </w:pPr>
      <w:r>
        <w:t xml:space="preserve">QA automatizada puede confirmar la presencia de archivos, esquemas, fórmulas, paridad estructural, integridad de paquetes y texto de búsqueda. No puede determinar si una métrica es estratégicamente apropiada, legalmente requerida, completa, precisa en funcionamiento, libre de parcialidad o suficiente para asegurar.</w:t>
      </w:r>
    </w:p>
    <w:p>
      <w:pPr>
        <w:pStyle w:val="BodyText"/>
      </w:pPr>
      <w:r>
        <w:t xml:space="preserve">Ningún control métrico, puntaje, tendencia, punto de referencia, panel de control, revisión de gestión, o cheque automatizado demuestra el cumplimiento, seguridad, eficacia de control, garantía de auditoría o desempeño empresarial. El juicio profesional calificado y la evidencia subyacente siguen siendo necesarios.</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Métricas GRC e Informes Ejecutivos</dc:title>
  <dc:creator>Alberto Al Leiva</dc:creator>
  <cp:keywords/>
  <dcterms:created xsi:type="dcterms:W3CDTF">2026-08-01T21:43:23Z</dcterms:created>
  <dcterms:modified xsi:type="dcterms:W3CDTF">2026-08-01T21:43:23Z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2026-08-01</vt:lpwstr>
  </property>
  <property fmtid="{D5CDD505-2E9C-101B-9397-08002B2CF9AE}" pid="3" name="language">
    <vt:lpwstr>es-419</vt:lpwstr>
  </property>
  <property fmtid="{D5CDD505-2E9C-101B-9397-08002B2CF9AE}" pid="4" name="source_language">
    <vt:lpwstr>en</vt:lpwstr>
  </property>
  <property fmtid="{D5CDD505-2E9C-101B-9397-08002B2CF9AE}" pid="5" name="status">
    <vt:lpwstr>candidato de publicación con traducción asistida por máquina</vt:lpwstr>
  </property>
  <property fmtid="{D5CDD505-2E9C-101B-9397-08002B2CF9AE}" pid="6" name="translation_method">
    <vt:lpwstr>machine-assisted; human editorial approval pending</vt:lpwstr>
  </property>
  <property fmtid="{D5CDD505-2E9C-101B-9397-08002B2CF9AE}" pid="7" name="version">
    <vt:lpwstr>1.0</vt:lpwstr>
  </property>
</Properties>
</file>