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Kit</w:t>
      </w:r>
      <w:r>
        <w:t xml:space="preserve"> </w:t>
      </w:r>
      <w:r>
        <w:t xml:space="preserve">de</w:t>
      </w:r>
      <w:r>
        <w:t xml:space="preserve"> </w:t>
      </w:r>
      <w:r>
        <w:t xml:space="preserve">Métricas</w:t>
      </w:r>
      <w:r>
        <w:t xml:space="preserve"> </w:t>
      </w:r>
      <w:r>
        <w:t xml:space="preserve">de</w:t>
      </w:r>
      <w:r>
        <w:t xml:space="preserve"> </w:t>
      </w:r>
      <w:r>
        <w:t xml:space="preserve">GRC</w:t>
      </w:r>
      <w:r>
        <w:t xml:space="preserve"> </w:t>
      </w:r>
      <w:r>
        <w:t xml:space="preserve">e</w:t>
      </w:r>
      <w:r>
        <w:t xml:space="preserve"> </w:t>
      </w:r>
      <w:r>
        <w:t xml:space="preserve">Relatórios</w:t>
      </w:r>
      <w:r>
        <w:t xml:space="preserve"> </w:t>
      </w:r>
      <w:r>
        <w:t xml:space="preserve">Executivos</w:t>
      </w:r>
    </w:p>
    <w:p>
      <w:pPr>
        <w:pStyle w:val="Author"/>
      </w:pPr>
      <w:r>
        <w:t xml:space="preserve">Alberto Al Leiva</w:t>
      </w:r>
    </w:p>
    <w:p>
      <w:pPr>
        <w:pStyle w:val="Date"/>
      </w:pPr>
      <w:r>
        <w:t xml:space="preserve">2026-08-01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78b4713e3193fafe364771e58f86b2080312f45"/>
    <w:p>
      <w:pPr>
        <w:pStyle w:val="Heading1"/>
      </w:pPr>
      <w:r>
        <w:t xml:space="preserve">GRC Metrics and Executive Reporting Toolkit</w:t>
      </w:r>
    </w:p>
    <w:p>
      <w:pPr>
        <w:pStyle w:val="BlockText"/>
      </w:pPr>
      <w:r>
        <w:t xml:space="preserve">Apenas orientação educacional e operacional. Uma métrica, pontuação, tendência, benchmark, limiar, painel, classificação de maturidade ou relatório de gestão não prova conformidade, segurança, eficácia de controle, garantia de auditoria ou desempenho empresarial.</w:t>
      </w:r>
    </w:p>
    <w:bookmarkStart w:id="20" w:name="como-usar-este-kit-de-ferramentas"/>
    <w:p>
      <w:pPr>
        <w:pStyle w:val="Heading2"/>
      </w:pPr>
      <w:r>
        <w:t xml:space="preserve">Como usar este kit de ferramentas</w:t>
      </w:r>
    </w:p>
    <w:p>
      <w:pPr>
        <w:pStyle w:val="FirstParagraph"/>
      </w:pPr>
      <w:r>
        <w:t xml:space="preserve">Use os capítulos para projetar e governar um programa de medição. Use as ferramentas CSV editáveis para reter definições, rever decisões, contexto de relatórios executivos e ações resultantes. Adapte todo o conteúdo aos objetivos, perfil de risco, obrigações, dados, autoridades de governança e necessidades de relatórios da organização.</w:t>
      </w:r>
    </w:p>
    <w:bookmarkEnd w:id="20"/>
    <w:bookmarkStart w:id="21" w:name="ferramentas-editáveis"/>
    <w:p>
      <w:pPr>
        <w:pStyle w:val="Heading2"/>
      </w:pPr>
      <w:r>
        <w:t xml:space="preserve">Ferramentas editáveis</w:t>
      </w:r>
    </w:p>
    <w:p>
      <w:pPr>
        <w:numPr>
          <w:ilvl w:val="0"/>
          <w:numId w:val="1001"/>
        </w:numPr>
        <w:pStyle w:val="Compact"/>
      </w:pPr>
      <w:r>
        <w:rPr>
          <w:rStyle w:val="VerbatimChar"/>
        </w:rPr>
        <w:t xml:space="preserve">Metric_Definition_Register.csv</w:t>
      </w:r>
      <w:r>
        <w:t xml:space="preserve"> </w:t>
      </w:r>
      <w:r>
        <w:t xml:space="preserve">— Campos controlados 40</w:t>
      </w:r>
    </w:p>
    <w:p>
      <w:pPr>
        <w:numPr>
          <w:ilvl w:val="0"/>
          <w:numId w:val="1001"/>
        </w:numPr>
        <w:pStyle w:val="Compact"/>
      </w:pPr>
      <w:r>
        <w:rPr>
          <w:rStyle w:val="VerbatimChar"/>
        </w:rPr>
        <w:t xml:space="preserve">KPI_KRI_Review_Worksheet.csv</w:t>
      </w:r>
      <w:r>
        <w:t xml:space="preserve"> </w:t>
      </w:r>
      <w:r>
        <w:t xml:space="preserve">— Campos controlados 36</w:t>
      </w:r>
    </w:p>
    <w:p>
      <w:pPr>
        <w:numPr>
          <w:ilvl w:val="0"/>
          <w:numId w:val="1001"/>
        </w:numPr>
        <w:pStyle w:val="Compact"/>
      </w:pPr>
      <w:r>
        <w:rPr>
          <w:rStyle w:val="VerbatimChar"/>
        </w:rPr>
        <w:t xml:space="preserve">Executive_GRC_Scorecard.csv</w:t>
      </w:r>
      <w:r>
        <w:t xml:space="preserve"> </w:t>
      </w:r>
      <w:r>
        <w:t xml:space="preserve">— Campos controlados 34</w:t>
      </w:r>
    </w:p>
    <w:p>
      <w:pPr>
        <w:numPr>
          <w:ilvl w:val="0"/>
          <w:numId w:val="1001"/>
        </w:numPr>
        <w:pStyle w:val="Compact"/>
      </w:pPr>
      <w:r>
        <w:rPr>
          <w:rStyle w:val="VerbatimChar"/>
        </w:rPr>
        <w:t xml:space="preserve">Metrics_Action_and_Decision_Tracker.csv</w:t>
      </w:r>
      <w:r>
        <w:t xml:space="preserve"> </w:t>
      </w:r>
      <w:r>
        <w:t xml:space="preserve">— Campos controlados 28</w:t>
      </w:r>
    </w:p>
    <w:bookmarkEnd w:id="21"/>
    <w:bookmarkStart w:id="22" w:name="limitações-da-revisão-humana"/>
    <w:p>
      <w:pPr>
        <w:pStyle w:val="Heading2"/>
      </w:pPr>
      <w:r>
        <w:t xml:space="preserve">Limitações da revisão humana</w:t>
      </w:r>
    </w:p>
    <w:p>
      <w:pPr>
        <w:pStyle w:val="FirstParagraph"/>
      </w:pPr>
      <w:r>
        <w:t xml:space="preserve">Verificações automatizadas validam estrutura, contagem de campos, integridade do pacote e salvaguardas selecionadas. Não realizam normas legais, regulatórias, de auditoria, qualidade de dados, acessibilidade, língua nativa, estatística ou revisão humana página a página.</w:t>
      </w:r>
    </w:p>
    <w:bookmarkEnd w:id="22"/>
    <w:bookmarkEnd w:id="23"/>
    <w:bookmarkStart w:id="29" w:name="Xe4bbccf551977677e29970b4ebe63b91e7535b3"/>
    <w:p>
      <w:pPr>
        <w:pStyle w:val="Heading1"/>
      </w:pPr>
      <w:r>
        <w:t xml:space="preserve">Governança métrica e finalidade da decisão</w:t>
      </w:r>
    </w:p>
    <w:bookmarkStart w:id="24" w:name="por-que-existem-métricas"/>
    <w:p>
      <w:pPr>
        <w:pStyle w:val="Heading2"/>
      </w:pPr>
      <w:r>
        <w:t xml:space="preserve">Por que existem métricas</w:t>
      </w:r>
    </w:p>
    <w:p>
      <w:pPr>
        <w:pStyle w:val="FirstParagraph"/>
      </w:pPr>
      <w:r>
        <w:t xml:space="preserve">Uma métrica GRC é um auxílio à decisão controlado. Deve responder a uma pergunta definida para um público identificado dentro de um período e âmbito especificados. Uma métrica que não tem nenhum propósito de decisão torna-se atividade de comunicação em vez de informação de governança.</w:t>
      </w:r>
    </w:p>
    <w:p>
      <w:pPr>
        <w:pStyle w:val="BodyText"/>
      </w:pPr>
      <w:r>
        <w:t xml:space="preserve">Antes de aprovar uma medida, documento a decisão que apoia, quem irá usá-la, a ação que pode seguir, a cadência de notificação, ea consequência de atraso ou erro. As medidas devem ser retiradas quando deixarem de influenciar uma decisão, duplicarem uma medida mais forte ou criarem mais custos de recolha do que valor de decisão.</w:t>
      </w:r>
    </w:p>
    <w:bookmarkEnd w:id="24"/>
    <w:bookmarkStart w:id="25" w:name="funções-de-governação"/>
    <w:p>
      <w:pPr>
        <w:pStyle w:val="Heading2"/>
      </w:pPr>
      <w:r>
        <w:t xml:space="preserve">Funções de governação</w:t>
      </w:r>
    </w:p>
    <w:p>
      <w:pPr>
        <w:pStyle w:val="FirstParagraph"/>
      </w:pPr>
      <w:r>
        <w:t xml:space="preserve">O órgão governante ou o comité delegado aprova os objectivos de comunicação e o contexto de risco de apetite. A gestão executiva possui decisões e recursos. O proprietário da métrica mantém a definição e interpretação. O proprietário dos dados controla os dados de origem. O produtor calcula e publica o resultado. Um revisor independente verifica fórmula, linhagem, qualidade e apresentação. Destinatários desafiam suposições e registram decisões.</w:t>
      </w:r>
    </w:p>
    <w:p>
      <w:pPr>
        <w:pStyle w:val="BodyText"/>
      </w:pPr>
      <w:r>
        <w:t xml:space="preserve">Nenhum indivíduo deve ser capaz de redefinir uma fórmula, alterar um limiar, suprimir um resultado desfavorável e aprovar o relatório final sem revisão independente.</w:t>
      </w:r>
    </w:p>
    <w:bookmarkEnd w:id="25"/>
    <w:bookmarkStart w:id="26" w:name="classes-métricas"/>
    <w:p>
      <w:pPr>
        <w:pStyle w:val="Heading2"/>
      </w:pPr>
      <w:r>
        <w:t xml:space="preserve">Classes métricas</w:t>
      </w:r>
    </w:p>
    <w:p>
      <w:pPr>
        <w:pStyle w:val="FirstParagraph"/>
      </w:pPr>
      <w:r>
        <w:t xml:space="preserve">Use etiquetas explícitas em vez da palavra genérica</w:t>
      </w:r>
      <w:r>
        <w:t xml:space="preserve"> </w:t>
      </w:r>
      <w:r>
        <w:t xml:space="preserve">“</w:t>
      </w:r>
      <w:r>
        <w:t xml:space="preserve">métrica</w:t>
      </w:r>
      <w:r>
        <w:t xml:space="preserve">”</w:t>
      </w:r>
      <w:r>
        <w:t xml:space="preserve">. As classes comuns incluem:</w:t>
      </w:r>
    </w:p>
    <w:p>
      <w:pPr>
        <w:numPr>
          <w:ilvl w:val="0"/>
          <w:numId w:val="1002"/>
        </w:numPr>
        <w:pStyle w:val="Compact"/>
      </w:pPr>
      <w:r>
        <w:t xml:space="preserve">Principais indicadores de desempenho, que descrevem os progressos em relação a um resultado operacional ou programa previsto;</w:t>
      </w:r>
    </w:p>
    <w:p>
      <w:pPr>
        <w:numPr>
          <w:ilvl w:val="0"/>
          <w:numId w:val="1002"/>
        </w:numPr>
        <w:pStyle w:val="Compact"/>
      </w:pPr>
      <w:r>
        <w:t xml:space="preserve">Principais indicadores de risco, que sinalizam uma alteração da exposição ou condições associadas ao risco;</w:t>
      </w:r>
    </w:p>
    <w:p>
      <w:pPr>
        <w:numPr>
          <w:ilvl w:val="0"/>
          <w:numId w:val="1002"/>
        </w:numPr>
        <w:pStyle w:val="Compact"/>
      </w:pPr>
      <w:r>
        <w:t xml:space="preserve">Principais indicadores de controlo, que descrevem a execução ou condição do controlo;</w:t>
      </w:r>
    </w:p>
    <w:p>
      <w:pPr>
        <w:numPr>
          <w:ilvl w:val="0"/>
          <w:numId w:val="1002"/>
        </w:numPr>
        <w:pStyle w:val="Compact"/>
      </w:pPr>
      <w:r>
        <w:t xml:space="preserve">Medidas de garantia, que resumem a cobertura ou os resultados da avaliação sem substituir os elementos de prova subjacentes;</w:t>
      </w:r>
    </w:p>
    <w:p>
      <w:pPr>
        <w:numPr>
          <w:ilvl w:val="0"/>
          <w:numId w:val="1002"/>
        </w:numPr>
        <w:pStyle w:val="Compact"/>
      </w:pPr>
      <w:r>
        <w:t xml:space="preserve">Medidas de maturidade, que descrevem a capacidade face a um modelo definido;</w:t>
      </w:r>
    </w:p>
    <w:p>
      <w:pPr>
        <w:numPr>
          <w:ilvl w:val="0"/>
          <w:numId w:val="1002"/>
        </w:numPr>
        <w:pStyle w:val="Compact"/>
      </w:pPr>
      <w:r>
        <w:t xml:space="preserve">medidas de actividade, que contam os trabalhos realizados;</w:t>
      </w:r>
    </w:p>
    <w:p>
      <w:pPr>
        <w:numPr>
          <w:ilvl w:val="0"/>
          <w:numId w:val="1002"/>
        </w:numPr>
        <w:pStyle w:val="Compact"/>
      </w:pPr>
      <w:r>
        <w:t xml:space="preserve">Medidas de resultados, que descrevem os resultados alcançados;</w:t>
      </w:r>
    </w:p>
    <w:p>
      <w:pPr>
        <w:numPr>
          <w:ilvl w:val="0"/>
          <w:numId w:val="1002"/>
        </w:numPr>
        <w:pStyle w:val="Compact"/>
      </w:pPr>
      <w:r>
        <w:t xml:space="preserve">medidas de exposição, que descrevem a quantidade ou concentração de ativos, processos, dados, obrigações ou serviços sujeitos a risco.</w:t>
      </w:r>
    </w:p>
    <w:p>
      <w:pPr>
        <w:pStyle w:val="FirstParagraph"/>
      </w:pPr>
      <w:r>
        <w:t xml:space="preserve">Uma medida pode caber mais de uma classe, mas a sua classe primária aprovada e a sua finalidade de decisão devem ser registadas.</w:t>
      </w:r>
    </w:p>
    <w:bookmarkEnd w:id="26"/>
    <w:bookmarkStart w:id="27" w:name="desenho-de-carteira"/>
    <w:p>
      <w:pPr>
        <w:pStyle w:val="Heading2"/>
      </w:pPr>
      <w:r>
        <w:t xml:space="preserve">Desenho de carteira</w:t>
      </w:r>
    </w:p>
    <w:p>
      <w:pPr>
        <w:pStyle w:val="FirstParagraph"/>
      </w:pPr>
      <w:r>
        <w:t xml:space="preserve">Uma carteira equilibrada combina medidas de liderança e atraso, informação quantitativa e qualitativa, pontos de vista empresariais e locais e medidas de actividade e resultados. Um painel feito apenas de contagens de atividade pode recompensar o volume sem demonstrar redução de risco. Um painel feito apenas de resultados atrasados pode identificar deterioração demasiado tarde.</w:t>
      </w:r>
    </w:p>
    <w:p>
      <w:pPr>
        <w:pStyle w:val="BodyText"/>
      </w:pPr>
      <w:r>
        <w:t xml:space="preserve">Cada portfólio deve documentar lacunas de cobertura material, medidas duplicadas, pontos cegos conhecidos e áreas onde não existem dados confiáveis.</w:t>
      </w:r>
    </w:p>
    <w:bookmarkEnd w:id="27"/>
    <w:bookmarkStart w:id="28" w:name="limite-de-garantia"/>
    <w:p>
      <w:pPr>
        <w:pStyle w:val="Heading2"/>
      </w:pPr>
      <w:r>
        <w:t xml:space="preserve">Limite de garantia</w:t>
      </w:r>
    </w:p>
    <w:p>
      <w:pPr>
        <w:pStyle w:val="FirstParagraph"/>
      </w:pPr>
      <w:r>
        <w:t xml:space="preserve">Uma pontuação favorável não prova conformidade, segurança, eficácia de controle, garantia de auditoria ou desempenho empresarial. Uma métrica é evidência sobre uma condição definida sob pressupostos declarados. As conclusões exigem os registos, o contexto, o julgamento profissional e, quando aplicável, a avaliação independente.</w:t>
      </w:r>
    </w:p>
    <w:bookmarkEnd w:id="28"/>
    <w:bookmarkEnd w:id="29"/>
    <w:bookmarkStart w:id="37" w:name="X74ddd02afee8afde718f1dd20686bcca9116220"/>
    <w:p>
      <w:pPr>
        <w:pStyle w:val="Heading1"/>
      </w:pPr>
      <w:r>
        <w:t xml:space="preserve">Definições, Fórmulas, Escopo e Normalização</w:t>
      </w:r>
    </w:p>
    <w:bookmarkStart w:id="30" w:name="definição-controlada"/>
    <w:p>
      <w:pPr>
        <w:pStyle w:val="Heading2"/>
      </w:pPr>
      <w:r>
        <w:t xml:space="preserve">Definição controlada</w:t>
      </w:r>
    </w:p>
    <w:p>
      <w:pPr>
        <w:pStyle w:val="FirstParagraph"/>
      </w:pPr>
      <w:r>
        <w:t xml:space="preserve">Cada medida aprovada necessita de uma definição estável. No mínimo, registrar o nome, identificador, classe, finalidade, proprietário, público, escopo, população, regras de inclusão e exclusão, numerador, denominador, unidade, fórmula, direção de movimento favorável, período de relato, frequência, fontes de dados, método de cálculo, lógica de limiar, limitações e versão.</w:t>
      </w:r>
    </w:p>
    <w:p>
      <w:pPr>
        <w:pStyle w:val="BodyText"/>
      </w:pPr>
      <w:r>
        <w:t xml:space="preserve">Um rótulo como</w:t>
      </w:r>
      <w:r>
        <w:t xml:space="preserve"> </w:t>
      </w:r>
      <w:r>
        <w:t xml:space="preserve">“</w:t>
      </w:r>
      <w:r>
        <w:t xml:space="preserve">compliance patch</w:t>
      </w:r>
      <w:r>
        <w:t xml:space="preserve">”</w:t>
      </w:r>
      <w:r>
        <w:t xml:space="preserve"> </w:t>
      </w:r>
      <w:r>
        <w:t xml:space="preserve">é insuficiente. Pode referir-se a dispositivos remetidos dentro de um alvo de nível de serviço, a porcentagem sem resultados críticos atrasados, ou a porcentagem digitalizada com sucesso. Trata-se de medidas materialmente diferentes.</w:t>
      </w:r>
    </w:p>
    <w:bookmarkEnd w:id="30"/>
    <w:bookmarkStart w:id="31" w:name="numeradores-e-denominadores"/>
    <w:p>
      <w:pPr>
        <w:pStyle w:val="Heading2"/>
      </w:pPr>
      <w:r>
        <w:t xml:space="preserve">Numeradores e denominadores</w:t>
      </w:r>
    </w:p>
    <w:p>
      <w:pPr>
        <w:pStyle w:val="FirstParagraph"/>
      </w:pPr>
      <w:r>
        <w:t xml:space="preserve">Os rácios devem definir tanto o numerador como o denominador no mesmo momento e segundo regras de âmbito compatíveis. Relatar populações excluídas, desconhecidas, não escaneadas, indisponíveis e recém-integradas separadamente quando poderiam mudar de interpretação.</w:t>
      </w:r>
    </w:p>
    <w:p>
      <w:pPr>
        <w:pStyle w:val="BodyText"/>
      </w:pPr>
      <w:r>
        <w:t xml:space="preserve">Não remover silenciosamente os registos falhados, em falta ou atrasados do denominador. Se a qualidade dos dados exigir exclusão, registe a razão, a quantidade, a aprovação e o efeito sobre o resultado.</w:t>
      </w:r>
    </w:p>
    <w:bookmarkEnd w:id="31"/>
    <w:bookmarkStart w:id="32" w:name="controles-de-tempo-e-coorte"/>
    <w:p>
      <w:pPr>
        <w:pStyle w:val="Heading2"/>
      </w:pPr>
      <w:r>
        <w:t xml:space="preserve">Controles de tempo e coorte</w:t>
      </w:r>
    </w:p>
    <w:p>
      <w:pPr>
        <w:pStyle w:val="FirstParagraph"/>
      </w:pPr>
      <w:r>
        <w:t xml:space="preserve">Especificar se a medida é um instantâneo ponto-em-tempo, período total, média de rolamento, resultado de coorte, valor cumulativo ou taxa. Defina datas do evento, tempos de corte, fusos horários, itens reabertos e dados tardios. Os períodos comparativos devem utilizar duração e âmbito equivalentes, salvo se o relatório revelar a diferença.</w:t>
      </w:r>
    </w:p>
    <w:bookmarkEnd w:id="32"/>
    <w:bookmarkStart w:id="33" w:name="normalização"/>
    <w:p>
      <w:pPr>
        <w:pStyle w:val="Heading2"/>
      </w:pPr>
      <w:r>
        <w:t xml:space="preserve">Normalização</w:t>
      </w:r>
    </w:p>
    <w:p>
      <w:pPr>
        <w:pStyle w:val="FirstParagraph"/>
      </w:pPr>
      <w:r>
        <w:t xml:space="preserve">Contagens brutas podem ser enganosas quando o tamanho da organização ou a exposição mudam. Normalizar apenas quando o denominador representa o contexto de decisão. Exemplos incluem incidentes por mil desfechos, ações atrasadas por achado ativo, ou exceções por fornecedor de material. Publicar a contagem bruta com a taxa normalizada quando ambos são relevantes.</w:t>
      </w:r>
    </w:p>
    <w:p>
      <w:pPr>
        <w:pStyle w:val="BodyText"/>
      </w:pPr>
      <w:r>
        <w:t xml:space="preserve">A normalização não deve ocultar o risco de concentração. Uma baixa taxa em toda a empresa pode coexistir com uma exposição grave em uma unidade de negócio, jurisdição, plataforma ou serviço crítico.</w:t>
      </w:r>
    </w:p>
    <w:bookmarkEnd w:id="33"/>
    <w:bookmarkStart w:id="34" w:name="agregação"/>
    <w:p>
      <w:pPr>
        <w:pStyle w:val="Heading2"/>
      </w:pPr>
      <w:r>
        <w:t xml:space="preserve">Agregação</w:t>
      </w:r>
    </w:p>
    <w:p>
      <w:pPr>
        <w:pStyle w:val="FirstParagraph"/>
      </w:pPr>
      <w:r>
        <w:t xml:space="preserve">Não devem ser utilizadas percentagens médias com denominadores desiguais, a menos que o método seja matematicamente adequado e documentado. A agregação empresarial deve normalmente recompor-se a partir de numeradores e denominadores de origem ou utilizar um modelo de ponderação aprovado. Record pesos, lógica, sensibilidade e distorção conhecida.</w:t>
      </w:r>
    </w:p>
    <w:p>
      <w:pPr>
        <w:pStyle w:val="BodyText"/>
      </w:pPr>
      <w:r>
        <w:t xml:space="preserve">Estados vermelhos, âmbar e verdes devem derivar de regras documentadas. Evitar médias das pontuações de maturidade ordinal ou estados de tráfego-luz como se fossem dados de intervalo, a menos que o modelo aprovado suporte explicitamente esse tratamento.</w:t>
      </w:r>
    </w:p>
    <w:bookmarkEnd w:id="34"/>
    <w:bookmarkStart w:id="35" w:name="alterações-e-reafirmação"/>
    <w:p>
      <w:pPr>
        <w:pStyle w:val="Heading2"/>
      </w:pPr>
      <w:r>
        <w:t xml:space="preserve">Alterações e reafirmação</w:t>
      </w:r>
    </w:p>
    <w:p>
      <w:pPr>
        <w:pStyle w:val="FirstParagraph"/>
      </w:pPr>
      <w:r>
        <w:t xml:space="preserve">As alterações de fórmula, escopo, limiar, fonte ou frequência requerem controle de versão e avaliação de impacto. Determinar se os períodos anteriores devem ser recalculados. Se não for reafirmado, marque a quebra em série e explique por que as comparações são limitadas.</w:t>
      </w:r>
    </w:p>
    <w:bookmarkEnd w:id="35"/>
    <w:bookmarkStart w:id="36" w:name="reprodutibilidade"/>
    <w:p>
      <w:pPr>
        <w:pStyle w:val="Heading2"/>
      </w:pPr>
      <w:r>
        <w:t xml:space="preserve">Reprodutibilidade</w:t>
      </w:r>
    </w:p>
    <w:p>
      <w:pPr>
        <w:pStyle w:val="FirstParagraph"/>
      </w:pPr>
      <w:r>
        <w:t xml:space="preserve">Um revisor independente deve ser capaz de reproduzir o resultado de dados de fonte retidos, regras de transformação, código ou lógica do livro de trabalho, e a definição aprovada. Os ajustamentos manuais devem manter o valor original, o valor revisto, a razão, o aprovador, a data e os elementos de prova de apoio.</w:t>
      </w:r>
    </w:p>
    <w:bookmarkEnd w:id="36"/>
    <w:bookmarkEnd w:id="37"/>
    <w:bookmarkStart w:id="45" w:name="lineagem-qualidade-e-validação-de-dados"/>
    <w:p>
      <w:pPr>
        <w:pStyle w:val="Heading1"/>
      </w:pPr>
      <w:r>
        <w:t xml:space="preserve">Lineagem, Qualidade e Validação de Dados</w:t>
      </w:r>
    </w:p>
    <w:bookmarkStart w:id="38" w:name="linhagem"/>
    <w:p>
      <w:pPr>
        <w:pStyle w:val="Heading2"/>
      </w:pPr>
      <w:r>
        <w:t xml:space="preserve">Linhagem</w:t>
      </w:r>
    </w:p>
    <w:p>
      <w:pPr>
        <w:pStyle w:val="FirstParagraph"/>
      </w:pPr>
      <w:r>
        <w:t xml:space="preserve">Cada resultado relatado deve rastrear sistemas de origem autoritários, extratos, transformações, cálculos, ajustes e saídas de publicação. Registre proprietários de fontes, identificadores do sistema, nomes de consultas ou relatórios, datas de extração, filtros, junções, tabelas de mapeamento e locais de armazenamento.</w:t>
      </w:r>
    </w:p>
    <w:p>
      <w:pPr>
        <w:pStyle w:val="BodyText"/>
      </w:pPr>
      <w:r>
        <w:t xml:space="preserve">Capturas de tela e totais copiados manualmente podem suportar revisão, mas não devem substituir a evidência de origem reprodutível quando os dados do sistema estão disponíveis.</w:t>
      </w:r>
    </w:p>
    <w:bookmarkEnd w:id="38"/>
    <w:bookmarkStart w:id="39" w:name="dimensões-da-qualidade"/>
    <w:p>
      <w:pPr>
        <w:pStyle w:val="Heading2"/>
      </w:pPr>
      <w:r>
        <w:t xml:space="preserve">Dimensões da qualidade</w:t>
      </w:r>
    </w:p>
    <w:p>
      <w:pPr>
        <w:pStyle w:val="FirstParagraph"/>
      </w:pPr>
      <w:r>
        <w:t xml:space="preserve">Avaliar pelo menos completude, precisão, validade, consistência, pontualidade, singularidade e rastreabilidade. Definir critérios de aceitação adequados à decisão. Um relatório do conselho pode exigir uma validação mais forte do que uma visão operacional exploratória.</w:t>
      </w:r>
    </w:p>
    <w:p>
      <w:pPr>
        <w:pStyle w:val="BodyText"/>
      </w:pPr>
      <w:r>
        <w:t xml:space="preserve">Valores desconhecidos e ausentes são dados, não zero. Comunicar a sua quantidade e efeito potencial. Não converta</w:t>
      </w:r>
      <w:r>
        <w:t xml:space="preserve"> </w:t>
      </w:r>
      <w:r>
        <w:t xml:space="preserve">“</w:t>
      </w:r>
      <w:r>
        <w:t xml:space="preserve">não avaliado</w:t>
      </w:r>
      <w:r>
        <w:t xml:space="preserve">”</w:t>
      </w:r>
      <w:r>
        <w:t xml:space="preserve">,</w:t>
      </w:r>
      <w:r>
        <w:t xml:space="preserve"> </w:t>
      </w:r>
      <w:r>
        <w:t xml:space="preserve">“</w:t>
      </w:r>
      <w:r>
        <w:t xml:space="preserve">não aplicável</w:t>
      </w:r>
      <w:r>
        <w:t xml:space="preserve">”</w:t>
      </w:r>
      <w:r>
        <w:t xml:space="preserve"> </w:t>
      </w:r>
      <w:r>
        <w:t xml:space="preserve">e</w:t>
      </w:r>
      <w:r>
        <w:t xml:space="preserve"> </w:t>
      </w:r>
      <w:r>
        <w:t xml:space="preserve">“</w:t>
      </w:r>
      <w:r>
        <w:t xml:space="preserve">sem problema</w:t>
      </w:r>
      <w:r>
        <w:t xml:space="preserve">”</w:t>
      </w:r>
      <w:r>
        <w:t xml:space="preserve"> </w:t>
      </w:r>
      <w:r>
        <w:t xml:space="preserve">no mesmo valor.</w:t>
      </w:r>
    </w:p>
    <w:bookmarkEnd w:id="39"/>
    <w:bookmarkStart w:id="40" w:name="controlos-de-validação"/>
    <w:p>
      <w:pPr>
        <w:pStyle w:val="Heading2"/>
      </w:pPr>
      <w:r>
        <w:t xml:space="preserve">Controlos de validação</w:t>
      </w:r>
    </w:p>
    <w:p>
      <w:pPr>
        <w:pStyle w:val="FirstParagraph"/>
      </w:pPr>
      <w:r>
        <w:t xml:space="preserve">Use esquema automatizado, intervalo, tipo, duplicado, reconciliação e verificação de integridade referencial onde prático. Adicionar revisão de razoabilidade, amostragem de fonte para relato, comparação de período anterior e revisão de fórmula independente.</w:t>
      </w:r>
    </w:p>
    <w:p>
      <w:pPr>
        <w:pStyle w:val="BodyText"/>
      </w:pPr>
      <w:r>
        <w:t xml:space="preserve">As exceções de qualidade devem identificar a métrica afetada, período, registros, causa raiz, efeito estimado, revisão compensatória, proprietário, ação corretiva e decisão sobre publicação.</w:t>
      </w:r>
    </w:p>
    <w:bookmarkEnd w:id="40"/>
    <w:bookmarkStart w:id="41" w:name="temporidade"/>
    <w:p>
      <w:pPr>
        <w:pStyle w:val="Heading2"/>
      </w:pPr>
      <w:r>
        <w:t xml:space="preserve">Temporidade</w:t>
      </w:r>
    </w:p>
    <w:p>
      <w:pPr>
        <w:pStyle w:val="FirstParagraph"/>
      </w:pPr>
      <w:r>
        <w:t xml:space="preserve">Defina a data de medição, o ponto de corte dos dados, o tempo de extração, a cadência de atualização e a latência esperada. Um resultado exato calculado pode ainda enganar. Os relatórios devem divulgar o atraso material e se os dados tardios irão desencadear a reafirmação.</w:t>
      </w:r>
    </w:p>
    <w:bookmarkEnd w:id="41"/>
    <w:bookmarkStart w:id="42" w:name="mudar-o-controlo"/>
    <w:p>
      <w:pPr>
        <w:pStyle w:val="Heading2"/>
      </w:pPr>
      <w:r>
        <w:t xml:space="preserve">Mudar o controlo</w:t>
      </w:r>
    </w:p>
    <w:p>
      <w:pPr>
        <w:pStyle w:val="FirstParagraph"/>
      </w:pPr>
      <w:r>
        <w:t xml:space="preserve">Mudanças de sistema-fonte, renomeação de campo, migrações, novas unidades de negócios, aquisições e redesenho de processos podem quebrar a comparabilidade. Os proprietários de dados devem notificar os proprietários métricos antes da implementação, quando possível. Validar o mapeamento e resultados de execução paralela antes de contar com o pipeline revisto.</w:t>
      </w:r>
    </w:p>
    <w:bookmarkEnd w:id="42"/>
    <w:bookmarkStart w:id="43" w:name="acesso-e-retenção"/>
    <w:p>
      <w:pPr>
        <w:pStyle w:val="Heading2"/>
      </w:pPr>
      <w:r>
        <w:t xml:space="preserve">Acesso e retenção</w:t>
      </w:r>
    </w:p>
    <w:p>
      <w:pPr>
        <w:pStyle w:val="FirstParagraph"/>
      </w:pPr>
      <w:r>
        <w:t xml:space="preserve">Restrinja a fonte e os dados intermediários de acordo com a sensibilidade. Manter evidências suficientes para reproduzir os resultados relatados e apoiar a revisão, observando privacidade, contratual, gerenciamento de registros e requisitos legais.</w:t>
      </w:r>
    </w:p>
    <w:bookmarkEnd w:id="43"/>
    <w:bookmarkStart w:id="44" w:name="classificação-de-qualidade"/>
    <w:p>
      <w:pPr>
        <w:pStyle w:val="Heading2"/>
      </w:pPr>
      <w:r>
        <w:t xml:space="preserve">Classificação de qualidade</w:t>
      </w:r>
    </w:p>
    <w:p>
      <w:pPr>
        <w:pStyle w:val="FirstParagraph"/>
      </w:pPr>
      <w:r>
        <w:t xml:space="preserve">Uma classificação de qualidade deve resumir os testes documentados, não substituí-los. Defina a escala de classificação, evidência, revisor e efeito sobre o uso. Se a qualidade for inferior ao mínimo aprovado, suprimir o resultado ou publicá-lo com uma limitação proeminente e uma fundamentação de decisão aprovada.</w:t>
      </w:r>
    </w:p>
    <w:bookmarkEnd w:id="44"/>
    <w:bookmarkEnd w:id="45"/>
    <w:bookmarkStart w:id="54" w:name="Xb9c8df994cc6459fb4638c21388515d44f49c1a"/>
    <w:p>
      <w:pPr>
        <w:pStyle w:val="Heading1"/>
      </w:pPr>
      <w:r>
        <w:t xml:space="preserve">Linhas de base, alvos, limiares, tendências e pontos de referência</w:t>
      </w:r>
    </w:p>
    <w:bookmarkStart w:id="46" w:name="bases"/>
    <w:p>
      <w:pPr>
        <w:pStyle w:val="Heading2"/>
      </w:pPr>
      <w:r>
        <w:t xml:space="preserve">Bases</w:t>
      </w:r>
    </w:p>
    <w:p>
      <w:pPr>
        <w:pStyle w:val="FirstParagraph"/>
      </w:pPr>
      <w:r>
        <w:t xml:space="preserve">Uma linha de base é a condição de referência aprovada para comparação. Registre o período, escopo, população, versão de cálculo, qualidade dos dados e eventos excepcionais. Rebasear apenas através de aprovação controlada quando a alteração estrutural torna a referência original enganosa.</w:t>
      </w:r>
    </w:p>
    <w:bookmarkEnd w:id="46"/>
    <w:bookmarkStart w:id="47" w:name="alvos"/>
    <w:p>
      <w:pPr>
        <w:pStyle w:val="Heading2"/>
      </w:pPr>
      <w:r>
        <w:t xml:space="preserve">Alvos</w:t>
      </w:r>
    </w:p>
    <w:p>
      <w:pPr>
        <w:pStyle w:val="FirstParagraph"/>
      </w:pPr>
      <w:r>
        <w:t xml:space="preserve">Os alvos expressam um resultado pretendido por um período determinado. Link metas para estratégia, apetite risco, obrigações, capacidade e planos aprovados. Distinguem os objectivos de aspiração dos compromissos financiados. Um alvo não deve ser selecionado apenas porque produz um painel favorável.</w:t>
      </w:r>
    </w:p>
    <w:bookmarkEnd w:id="47"/>
    <w:bookmarkStart w:id="48" w:name="limiares"/>
    <w:p>
      <w:pPr>
        <w:pStyle w:val="Heading2"/>
      </w:pPr>
      <w:r>
        <w:t xml:space="preserve">Limiares</w:t>
      </w:r>
    </w:p>
    <w:p>
      <w:pPr>
        <w:pStyle w:val="FirstParagraph"/>
      </w:pPr>
      <w:r>
        <w:t xml:space="preserve">Limiares despertam atenção ou ação. Defina o limite exato, direção, regra de persistência, amostra mínima, gravidade, proprietário, tempo de resposta e caminho de escalada. Documente se uma única violação, violação repetida ou tendência desencadeia uma escalada.</w:t>
      </w:r>
    </w:p>
    <w:p>
      <w:pPr>
        <w:pStyle w:val="BodyText"/>
      </w:pPr>
      <w:r>
        <w:t xml:space="preserve">Cores de luz de tráfego são dispositivos de apresentação. Os critérios numéricos ou qualitativos subjacentes, a incerteza e as exceções devem permanecer visíveis.</w:t>
      </w:r>
    </w:p>
    <w:bookmarkEnd w:id="48"/>
    <w:bookmarkStart w:id="49" w:name="tendências-e-variância"/>
    <w:p>
      <w:pPr>
        <w:pStyle w:val="Heading2"/>
      </w:pPr>
      <w:r>
        <w:t xml:space="preserve">Tendências e variância</w:t>
      </w:r>
    </w:p>
    <w:p>
      <w:pPr>
        <w:pStyle w:val="FirstParagraph"/>
      </w:pPr>
      <w:r>
        <w:t xml:space="preserve">Mostrar períodos suficientes para distinguir ruído, sazonalidade e movimento sustentado. Explicar alterações no escopo, denominador, fonte ou fórmula. Compare os resultados reais com a linha de base, o objetivo, o período anterior e as previsões apenas quando as definições permanecerem comparáveis.</w:t>
      </w:r>
    </w:p>
    <w:p>
      <w:pPr>
        <w:pStyle w:val="BodyText"/>
      </w:pPr>
      <w:r>
        <w:t xml:space="preserve">Investigar variância favorável e desfavorável. A melhoria súbita pode resultar de perda de denominador, dados atrasados, reclassificação ou detecção reduzida.</w:t>
      </w:r>
    </w:p>
    <w:bookmarkEnd w:id="49"/>
    <w:bookmarkStart w:id="50" w:name="cuidado-estatístico"/>
    <w:p>
      <w:pPr>
        <w:pStyle w:val="Heading2"/>
      </w:pPr>
      <w:r>
        <w:t xml:space="preserve">Cuidado estatístico</w:t>
      </w:r>
    </w:p>
    <w:p>
      <w:pPr>
        <w:pStyle w:val="FirstParagraph"/>
      </w:pPr>
      <w:r>
        <w:t xml:space="preserve">Utilizar intervalos de confiança, limites de controle ou outras técnicas estatísticas apenas quando pressupostos e características da amostra os sustentam. Não implica precisão além dos dados. Pequenas populações, eventos raros e observações dependentes requerem cautela explícita.</w:t>
      </w:r>
    </w:p>
    <w:bookmarkEnd w:id="50"/>
    <w:bookmarkStart w:id="51" w:name="benchmarks"/>
    <w:p>
      <w:pPr>
        <w:pStyle w:val="Heading2"/>
      </w:pPr>
      <w:r>
        <w:t xml:space="preserve">Benchmarks</w:t>
      </w:r>
    </w:p>
    <w:p>
      <w:pPr>
        <w:pStyle w:val="FirstParagraph"/>
      </w:pPr>
      <w:r>
        <w:t xml:space="preserve">Os benchmarks externos exigem fonte, população, indústria, geografia, tamanho, período, definição e revisão de licenciamento. Um índice de referência com um denominador diferente ou incentivo à comunicação de informações pode não ser comparável. As comparações internas entre pares requerem controlos equivalentes de âmbito e qualidade.</w:t>
      </w:r>
    </w:p>
    <w:p>
      <w:pPr>
        <w:pStyle w:val="BodyText"/>
      </w:pPr>
      <w:r>
        <w:t xml:space="preserve">A posição da Benchmark não estabelece adequação. Uma média da indústria fraca não é um alvo de risco defensável, e uma pontuação acima da média não prova conformidade ou segurança.</w:t>
      </w:r>
    </w:p>
    <w:bookmarkEnd w:id="51"/>
    <w:bookmarkStart w:id="52" w:name="previsões-e-cenários"/>
    <w:p>
      <w:pPr>
        <w:pStyle w:val="Heading2"/>
      </w:pPr>
      <w:r>
        <w:t xml:space="preserve">Previsões e cenários</w:t>
      </w:r>
    </w:p>
    <w:p>
      <w:pPr>
        <w:pStyle w:val="FirstParagraph"/>
      </w:pPr>
      <w:r>
        <w:t xml:space="preserve">Separar os resultados observados das previsões e cenários. Registre suposições, proprietário do modelo, confiança, sensibilidade e data de atualização. Não misture valores de previsão em desempenho real sem etiquetas claras.</w:t>
      </w:r>
    </w:p>
    <w:bookmarkEnd w:id="52"/>
    <w:bookmarkStart w:id="53" w:name="escalação"/>
    <w:p>
      <w:pPr>
        <w:pStyle w:val="Heading2"/>
      </w:pPr>
      <w:r>
        <w:t xml:space="preserve">Escalação</w:t>
      </w:r>
    </w:p>
    <w:p>
      <w:pPr>
        <w:pStyle w:val="FirstParagraph"/>
      </w:pPr>
      <w:r>
        <w:t xml:space="preserve">Cada violação material ou tendência adversa deve produzir uma decisão própria: aceitar com lógica, investigar, corrigir dados, alterar um controle, ajustar recursos, revisar o alvo, ou aumentar. Manter as provas de decisão e de conclusão no rastreador de ação.</w:t>
      </w:r>
    </w:p>
    <w:bookmarkEnd w:id="53"/>
    <w:bookmarkEnd w:id="54"/>
    <w:bookmarkStart w:id="63" w:name="relatórios-executivos-e-da-comissão"/>
    <w:p>
      <w:pPr>
        <w:pStyle w:val="Heading1"/>
      </w:pPr>
      <w:r>
        <w:t xml:space="preserve">Relatórios Executivos e da Comissão</w:t>
      </w:r>
    </w:p>
    <w:bookmarkStart w:id="55" w:name="audiência-e-foco-de-decisão"/>
    <w:p>
      <w:pPr>
        <w:pStyle w:val="Heading2"/>
      </w:pPr>
      <w:r>
        <w:t xml:space="preserve">Audiência e foco de decisão</w:t>
      </w:r>
    </w:p>
    <w:p>
      <w:pPr>
        <w:pStyle w:val="FirstParagraph"/>
      </w:pPr>
      <w:r>
        <w:t xml:space="preserve">Os relatórios do executivo e do conselho de administração deverão conduzir a decisões, exposição material, tendência, confiança e ação necessária. O detalhe operacional pertence aos programas de apoio, a menos que altere a decisão.</w:t>
      </w:r>
    </w:p>
    <w:p>
      <w:pPr>
        <w:pStyle w:val="BodyText"/>
      </w:pPr>
      <w:r>
        <w:t xml:space="preserve">Defina o destinatário, mandato de governança, período de relato, contexto de risco de apetite e decisões esperadas. Distinguir informações de gestão de relatórios formais do conselho de administração e preservar o registro aprovado.</w:t>
      </w:r>
    </w:p>
    <w:bookmarkEnd w:id="55"/>
    <w:bookmarkStart w:id="56" w:name="estrutura-do-cartão-de-pontuação"/>
    <w:p>
      <w:pPr>
        <w:pStyle w:val="Heading2"/>
      </w:pPr>
      <w:r>
        <w:t xml:space="preserve">Estrutura do cartão de pontuação</w:t>
      </w:r>
    </w:p>
    <w:p>
      <w:pPr>
        <w:pStyle w:val="FirstParagraph"/>
      </w:pPr>
      <w:r>
        <w:t xml:space="preserve">Uma placa de pontuação útil normalmente inclui o nome métrico, resultado atual, alvo ou limiar, resultado anterior, tendência, escopo, status de qualidade de dados, interpretação concisa, proprietário, ação, data de vencimento e status de escalada. Mostrar o valor subjacente em vez de cor sozinho.</w:t>
      </w:r>
    </w:p>
    <w:p>
      <w:pPr>
        <w:pStyle w:val="BodyText"/>
      </w:pPr>
      <w:r>
        <w:t xml:space="preserve">Agrupar medidas por objetivo estratégico, risco material, obrigação, domínio de controle ou serviço de negócios. Evite uma única pontuação composta, a menos que a ponderação, sensibilidade e limitações sejam aprovadas e transparentes.</w:t>
      </w:r>
    </w:p>
    <w:bookmarkEnd w:id="56"/>
    <w:bookmarkStart w:id="57" w:name="interpretação-narrativa"/>
    <w:p>
      <w:pPr>
        <w:pStyle w:val="Heading2"/>
      </w:pPr>
      <w:r>
        <w:t xml:space="preserve">Interpretação narrativa</w:t>
      </w:r>
    </w:p>
    <w:p>
      <w:pPr>
        <w:pStyle w:val="FirstParagraph"/>
      </w:pPr>
      <w:r>
        <w:t xml:space="preserve">A narrativa deve explicar o que mudou, por que importa, o que é conhecido, o que permanece incerto, o que a gestão está fazendo, e que decisão é solicitada. Fato, análise, suposição, previsão e recomendação separados.</w:t>
      </w:r>
    </w:p>
    <w:p>
      <w:pPr>
        <w:pStyle w:val="BodyText"/>
      </w:pPr>
      <w:r>
        <w:t xml:space="preserve">Não use linguagem positiva para obscurecer uma violação ou linguagem negativa para exagerar uma pequena flutuação. Limitações materiais dos dados do estado perto da conclusão que afetam.</w:t>
      </w:r>
    </w:p>
    <w:bookmarkEnd w:id="57"/>
    <w:bookmarkStart w:id="58" w:name="escalações-e-excepções"/>
    <w:p>
      <w:pPr>
        <w:pStyle w:val="Heading2"/>
      </w:pPr>
      <w:r>
        <w:t xml:space="preserve">Escalações e excepções</w:t>
      </w:r>
    </w:p>
    <w:p>
      <w:pPr>
        <w:pStyle w:val="FirstParagraph"/>
      </w:pPr>
      <w:r>
        <w:t xml:space="preserve">Relatar violações de limiares, ações atrasadas, exceções aceitas, falhas de controle repetidas, problemas de qualidade de dados materiais e discordância entre funções responsáveis. Registre quem aceitou o risco residual e sob que autoridade.</w:t>
      </w:r>
    </w:p>
    <w:bookmarkEnd w:id="58"/>
    <w:bookmarkStart w:id="59" w:name="agregação-e-perfuração"/>
    <w:p>
      <w:pPr>
        <w:pStyle w:val="Heading2"/>
      </w:pPr>
      <w:r>
        <w:t xml:space="preserve">Agregação e perfuração</w:t>
      </w:r>
    </w:p>
    <w:p>
      <w:pPr>
        <w:pStyle w:val="FirstParagraph"/>
      </w:pPr>
      <w:r>
        <w:t xml:space="preserve">Os resumos das empresas devem permitir perfurar a unidade de negócio, o serviço, a jurisdição, a classe de ativos ou a obrigação em caso de concentração. A agregação não deve esconder uma condição local crítica.</w:t>
      </w:r>
    </w:p>
    <w:bookmarkEnd w:id="59"/>
    <w:bookmarkStart w:id="60" w:name="registo-de-reuniões-e-decisões"/>
    <w:p>
      <w:pPr>
        <w:pStyle w:val="Heading2"/>
      </w:pPr>
      <w:r>
        <w:t xml:space="preserve">Registo de reuniões e decisões</w:t>
      </w:r>
    </w:p>
    <w:p>
      <w:pPr>
        <w:pStyle w:val="FirstParagraph"/>
      </w:pPr>
      <w:r>
        <w:t xml:space="preserve">Manter a versão do relatório apresentada, participantes, perguntas, desafios, decisões, ações atribuídas, datas de vencimento e posterior encerramento de evidências. Correções após a distribuição requerem reedição controlada e aviso aos destinatários.</w:t>
      </w:r>
    </w:p>
    <w:bookmarkEnd w:id="60"/>
    <w:bookmarkStart w:id="61" w:name="confidencialidade-e-acessibilidade"/>
    <w:p>
      <w:pPr>
        <w:pStyle w:val="Heading2"/>
      </w:pPr>
      <w:r>
        <w:t xml:space="preserve">Confidencialidade e acessibilidade</w:t>
      </w:r>
    </w:p>
    <w:p>
      <w:pPr>
        <w:pStyle w:val="FirstParagraph"/>
      </w:pPr>
      <w:r>
        <w:t xml:space="preserve">Classificar relatórios de acordo com a sensibilidade e restringir a distribuição. Evite dados pessoais ou de clientes desnecessários. Use cabeçalhos significativos, tabelas legíveis, indicadores não coloridos, siglas definidas e formatos de fonte acessíveis.</w:t>
      </w:r>
    </w:p>
    <w:bookmarkEnd w:id="61"/>
    <w:bookmarkStart w:id="62" w:name="limite-de-garantia-1"/>
    <w:p>
      <w:pPr>
        <w:pStyle w:val="Heading2"/>
      </w:pPr>
      <w:r>
        <w:t xml:space="preserve">Limite de garantia</w:t>
      </w:r>
    </w:p>
    <w:p>
      <w:pPr>
        <w:pStyle w:val="FirstParagraph"/>
      </w:pPr>
      <w:r>
        <w:t xml:space="preserve">A revisão do conselho não valida os dados da fonte nem estabelece garantias. Um painel não é uma certificação. Os relatórios devem indicar o âmbito, a metodologia, o estado de qualidade e as limitações de revisão humana necessárias para uma interpretação responsável.</w:t>
      </w:r>
    </w:p>
    <w:bookmarkEnd w:id="62"/>
    <w:bookmarkEnd w:id="63"/>
    <w:bookmarkStart w:id="71" w:name="Xf6226a004b5a3712023ca0a9e0f8726351ba549"/>
    <w:p>
      <w:pPr>
        <w:pStyle w:val="Heading1"/>
      </w:pPr>
      <w:r>
        <w:t xml:space="preserve">Revisão do ciclo de vida, ações e limites de garantia</w:t>
      </w:r>
    </w:p>
    <w:bookmarkStart w:id="64" w:name="revisão-periódica"/>
    <w:p>
      <w:pPr>
        <w:pStyle w:val="Heading2"/>
      </w:pPr>
      <w:r>
        <w:t xml:space="preserve">Revisão periódica</w:t>
      </w:r>
    </w:p>
    <w:p>
      <w:pPr>
        <w:pStyle w:val="FirstParagraph"/>
      </w:pPr>
      <w:r>
        <w:t xml:space="preserve">Reveja cada métrica em uma cadência aprovada e após mudanças materiais. Confirmar que o propósito da decisão ainda existe, a definição permanece clara, a fonte é autoritária, a fórmula é correta, a população é completa, o limiar permanece significativo, e os destinatários ainda atuam sobre o resultado.</w:t>
      </w:r>
    </w:p>
    <w:p>
      <w:pPr>
        <w:pStyle w:val="BodyText"/>
      </w:pPr>
      <w:r>
        <w:t xml:space="preserve">A revisão deve considerar o custo de coleta, duplicação, risco de manipulação, incentivos não intencionados, impacto na privacidade, acessibilidade e se a medida impulsiona o comportamento pretendido pela organização.</w:t>
      </w:r>
    </w:p>
    <w:bookmarkEnd w:id="64"/>
    <w:bookmarkStart w:id="65" w:name="desafio-e-aprovação"/>
    <w:p>
      <w:pPr>
        <w:pStyle w:val="Heading2"/>
      </w:pPr>
      <w:r>
        <w:t xml:space="preserve">Desafio e aprovação</w:t>
      </w:r>
    </w:p>
    <w:p>
      <w:pPr>
        <w:pStyle w:val="FirstParagraph"/>
      </w:pPr>
      <w:r>
        <w:t xml:space="preserve">Os proprietários de métrica devem apresentar alterações de definição, exceções, variância inexplicável e preocupações de qualidade para um revisor apropriado. As alterações materiais requerem aprovação antes de o resultado revisto ser utilizado para comparação ou decisões executivas.</w:t>
      </w:r>
    </w:p>
    <w:bookmarkEnd w:id="65"/>
    <w:bookmarkStart w:id="66" w:name="acções-e-decisões"/>
    <w:p>
      <w:pPr>
        <w:pStyle w:val="Heading2"/>
      </w:pPr>
      <w:r>
        <w:t xml:space="preserve">Acções e decisões</w:t>
      </w:r>
    </w:p>
    <w:p>
      <w:pPr>
        <w:pStyle w:val="FirstParagraph"/>
      </w:pPr>
      <w:r>
        <w:t xml:space="preserve">Uma métrica tem valor de governança apenas quando os resultados materiais produzem decisões documentadas. Use o rastreador de ação e decisão para registrar o gatilho, análise, autoridade de decisão, proprietário de ação, recursos, data de vencimento, dependência, escalada, evidência de conclusão e preocupação residual.</w:t>
      </w:r>
    </w:p>
    <w:p>
      <w:pPr>
        <w:pStyle w:val="BodyText"/>
      </w:pPr>
      <w:r>
        <w:t xml:space="preserve">O encerramento de uma ação não resolve automaticamente o risco subjacente. Validar o resultado pretendido e determinar se a métrica, limiar ou controle precisa de revisão.</w:t>
      </w:r>
    </w:p>
    <w:bookmarkEnd w:id="66"/>
    <w:bookmarkStart w:id="67" w:name="aposentadoria"/>
    <w:p>
      <w:pPr>
        <w:pStyle w:val="Heading2"/>
      </w:pPr>
      <w:r>
        <w:t xml:space="preserve">Aposentadoria</w:t>
      </w:r>
    </w:p>
    <w:p>
      <w:pPr>
        <w:pStyle w:val="FirstParagraph"/>
      </w:pPr>
      <w:r>
        <w:t xml:space="preserve">As medidas de reforma que deixaram de apoiar uma decisão não podem ser produzidas de forma fiável, duplicar as medidas mais fortes, criar incentivos prejudiciais ou ter sido substituídas. Registre a data de aposentadoria, aprovação, sucessor, decisão de retenção de dados e efeito nos relatórios históricos.</w:t>
      </w:r>
    </w:p>
    <w:p>
      <w:pPr>
        <w:pStyle w:val="BodyText"/>
      </w:pPr>
      <w:r>
        <w:t xml:space="preserve">Não apague definições históricas ou resultados necessários para entender decisões anteriores. Marcar medidas aposentadas claramente para que não sejam reutilizadas sem revisão.</w:t>
      </w:r>
    </w:p>
    <w:bookmarkEnd w:id="67"/>
    <w:bookmarkStart w:id="68" w:name="melhoria-contínua"/>
    <w:p>
      <w:pPr>
        <w:pStyle w:val="Heading2"/>
      </w:pPr>
      <w:r>
        <w:t xml:space="preserve">Melhoria contínua</w:t>
      </w:r>
    </w:p>
    <w:p>
      <w:pPr>
        <w:pStyle w:val="FirstParagraph"/>
      </w:pPr>
      <w:r>
        <w:t xml:space="preserve">Use relatórios de erros, observações de auditoria, feedback do destinatário, sinais perdidos, falsos alarmes e resultados de ação para melhorar o portfólio. Teste se as medidas detectaram alterações de materiais precocemente e se os limiares conduziram a uma ação proporcionada.</w:t>
      </w:r>
    </w:p>
    <w:bookmarkEnd w:id="68"/>
    <w:bookmarkStart w:id="69" w:name="revisão-independente"/>
    <w:p>
      <w:pPr>
        <w:pStyle w:val="Heading2"/>
      </w:pPr>
      <w:r>
        <w:t xml:space="preserve">Revisão independente</w:t>
      </w:r>
    </w:p>
    <w:p>
      <w:pPr>
        <w:pStyle w:val="FirstParagraph"/>
      </w:pPr>
      <w:r>
        <w:t xml:space="preserve">Sempre que as participações o justifiquem, utilize a auditoria interna, a supervisão dos riscos, a garantia da qualidade, a governação dos dados ou outra função independente para rever as definições, cálculos, linhagens e controlos de relatórios seleccionados. O âmbito de aplicação e as conclusões devem ser explícitos.</w:t>
      </w:r>
    </w:p>
    <w:bookmarkEnd w:id="69"/>
    <w:bookmarkStart w:id="70" w:name="limites-de-garantia"/>
    <w:p>
      <w:pPr>
        <w:pStyle w:val="Heading2"/>
      </w:pPr>
      <w:r>
        <w:t xml:space="preserve">Limites de garantia</w:t>
      </w:r>
    </w:p>
    <w:p>
      <w:pPr>
        <w:pStyle w:val="FirstParagraph"/>
      </w:pPr>
      <w:r>
        <w:t xml:space="preserve">QA automatizado pode confirmar a presença de arquivos, esquemas, fórmulas, paridade estrutural, integridade do pacote e texto pesquisável. Ele não pode determinar se uma métrica é estrategicamente adequada, legalmente necessária, completa, precisa em operação, livre de viés, ou suficiente para garantir.</w:t>
      </w:r>
    </w:p>
    <w:p>
      <w:pPr>
        <w:pStyle w:val="BodyText"/>
      </w:pPr>
      <w:r>
        <w:t xml:space="preserve">Nenhuma métrica, pontuação, tendência, benchmark, painel, revisão de gerenciamento ou verificação automatizada prova conformidade, segurança, eficácia de controle, garantia de auditoria ou desempenho empresarial. O julgamento profissional qualificado e os elementos de prova subjacentes continuam a ser necessários.</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Métricas de GRC e Relatórios Executivos</dc:title>
  <dc:creator>Alberto Al Leiva</dc:creator>
  <cp:keywords/>
  <dcterms:created xsi:type="dcterms:W3CDTF">2026-08-01T21:43:26Z</dcterms:created>
  <dcterms:modified xsi:type="dcterms:W3CDTF">2026-08-01T21:43:26Z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2026-08-01</vt:lpwstr>
  </property>
  <property fmtid="{D5CDD505-2E9C-101B-9397-08002B2CF9AE}" pid="3" name="language">
    <vt:lpwstr>pt-BR</vt:lpwstr>
  </property>
  <property fmtid="{D5CDD505-2E9C-101B-9397-08002B2CF9AE}" pid="4" name="source_language">
    <vt:lpwstr>en</vt:lpwstr>
  </property>
  <property fmtid="{D5CDD505-2E9C-101B-9397-08002B2CF9AE}" pid="5" name="status">
    <vt:lpwstr>candidato a publicação com tradução assistida por máquina</vt:lpwstr>
  </property>
  <property fmtid="{D5CDD505-2E9C-101B-9397-08002B2CF9AE}" pid="6" name="translation_method">
    <vt:lpwstr>machine-assisted; human editorial approval pending</vt:lpwstr>
  </property>
  <property fmtid="{D5CDD505-2E9C-101B-9397-08002B2CF9AE}" pid="7" name="version">
    <vt:lpwstr>1.0</vt:lpwstr>
  </property>
</Properties>
</file>