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40.png" ContentType="image/png"/>
  <Override PartName="/word/media/rId51.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GDPR</w:t>
      </w:r>
    </w:p>
    <w:p>
      <w:pPr>
        <w:pStyle w:val="BodyText"/>
      </w:pPr>
      <w:r>
        <w:rPr>
          <w:bCs/>
          <w:b/>
        </w:rPr>
        <w:t xml:space="preserve">Un manual práctico para administradores y analistas jóvenes</w:t>
      </w:r>
    </w:p>
    <w:p>
      <w:pPr>
        <w:pStyle w:val="BodyText"/>
      </w:pPr>
      <w:r>
        <w:rPr>
          <w:iCs/>
          <w:i/>
        </w:rPr>
        <w:t xml:space="preserve">Cómo se desarrolla, opera, demuestra y mejora el trabajo de privacidad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Plain-English GDPR artículos • Manual de gestión • Herramientas de código abierto • Ejemplos de evidencia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20"/>
    <w:bookmarkStart w:id="21"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rPr>
          <w:bCs/>
          <w:b/>
        </w:rPr>
        <w:t xml:space="preserve">Lección central:</w:t>
      </w:r>
      <w:r>
        <w:t xml:space="preserve"> </w:t>
      </w:r>
      <w:r>
        <w:t xml:space="preserve">El cumplimiento de GDPR no es un proyecto de documento único. Es un programa continuo para el uso legal, justo, transparente, seguro y responsable de los datos personales. |</w:t>
      </w:r>
    </w:p>
    <w:p>
      <w:pPr>
        <w:pStyle w:val="BodyText"/>
      </w:pPr>
      <w:r>
        <w:t xml:space="preserve">Respuesta</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 deben estudiar los derechos, la evidencia, la guía de artículos, las herramientas, el laboratorio ficticio, los proyectos de portafolio y el capítulo de entrevistas.</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 Nota de edición:** La tabla final de contenidos incluye números de página verificados para esta edición. Si el manual es editado, confirme el nuevo diseño y actualice las referencias de la página. |</w:t>
      </w:r>
    </w:p>
    <w:p>
      <w:pPr>
        <w:pStyle w:val="BodyText"/>
      </w:pPr>
      <w:r>
        <w:t xml:space="preserve">Respuesta</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del GDPR para gerentes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24"/>
    <w:bookmarkStart w:id="34" w:name="gdpr-foundations"/>
    <w:p>
      <w:pPr>
        <w:pStyle w:val="Heading1"/>
      </w:pPr>
      <w:r>
        <w:t xml:space="preserve">1. GDPR Foundations</w:t>
      </w:r>
    </w:p>
    <w:p>
      <w:pPr>
        <w:pStyle w:val="FirstParagraph"/>
      </w:pPr>
      <w:r>
        <w:rPr>
          <w:iCs/>
          <w:i/>
        </w:rPr>
        <w:t xml:space="preserve">Lo que la ley protege, lo que significa el cumplimiento, y lo que los administradores poseen.</w:t>
      </w:r>
    </w:p>
    <w:p>
      <w:pPr>
        <w:pStyle w:val="CaptionedFigure"/>
      </w:pPr>
      <w:r>
        <w:drawing>
          <wp:inline>
            <wp:extent cx="5334000" cy="2807886"/>
            <wp:effectExtent b="0" l="0" r="0" t="0"/>
            <wp:docPr descr="Cuatro bloques conectados muestran personas, datos, propósito y control."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Cuatro bloques conectados muestran personas, datos, propósito y control.</w:t>
      </w:r>
    </w:p>
    <w:p>
      <w:pPr>
        <w:pStyle w:val="BodyText"/>
      </w:pPr>
      <w:r>
        <w:t xml:space="preserve">Figura 1. GDPR como un programa de gestión práctica</w:t>
      </w:r>
    </w:p>
    <w:bookmarkStart w:id="28"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28"/>
    <w:bookmarkStart w:id="29"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29"/>
    <w:bookmarkStart w:id="30"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numPr>
          <w:ilvl w:val="0"/>
          <w:numId w:val="1002"/>
        </w:numPr>
        <w:pStyle w:val="Compact"/>
      </w:pPr>
      <w:r>
        <w:t xml:space="preserve">Alcance, roles y definiciones</w:t>
      </w:r>
    </w:p>
    <w:p>
      <w:pPr>
        <w:pStyle w:val="FirstParagraph"/>
      </w:pPr>
      <w:r>
        <w:rPr>
          <w:iCs/>
          <w:i/>
        </w:rPr>
        <w:t xml:space="preserve">Cómo decidir si GDPR aplica y quién es responsable</w:t>
      </w:r>
      <w:r>
        <w:t xml:space="preserve">.</w:t>
      </w:r>
    </w:p>
    <w:bookmarkEnd w:id="30"/>
    <w:bookmarkStart w:id="31"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31"/>
    <w:bookmarkStart w:id="32" w:name="funciones-básicas"/>
    <w:p>
      <w:pPr>
        <w:pStyle w:val="Heading2"/>
      </w:pPr>
      <w:r>
        <w:t xml:space="preserve">2.2 Funciones básicas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bl>
    <w:p>
      <w:pPr>
        <w:pStyle w:val="BodyText"/>
      </w:pPr>
      <w:r>
        <w:t xml:space="preserve">TENCIÓN DE LOS Datos sometidos La persona que los datos se relacionan con los derechos del ejercicio Silencioso y reciben información clara</w:t>
      </w:r>
      <w:r>
        <w:t xml:space="preserve"> </w:t>
      </w:r>
      <w:r>
        <w:t xml:space="preserve">Silencioso Controlador |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 Procesa datos personales para un controlador TEN Seguir instrucciones, proteger datos, ayudar al controlador |</w:t>
      </w:r>
      <w:r>
        <w:t xml:space="preserve"> </w:t>
      </w:r>
      <w:r>
        <w:t xml:space="preserve">| Subprocesador | Procesador comprometido por otro procesador | Conocer los deberes contractuales y de seguridad aprobados</w:t>
      </w:r>
      <w:r>
        <w:t xml:space="preserve"> </w:t>
      </w:r>
      <w:r>
        <w:t xml:space="preserve">TEN DPO | Asesor y monitor independiente donde se designa TENA AVISO, monitoree, apoye a DPIAs, coopere con la autoridad |</w:t>
      </w:r>
      <w:r>
        <w:t xml:space="preserve"> </w:t>
      </w:r>
      <w:r>
        <w:t xml:space="preserve">| Autoridad supervisora | Regulador independiente de privacidad Silencioso guía, investigación, acción correctiva, cumplimiento</w:t>
      </w:r>
    </w:p>
    <w:bookmarkEnd w:id="32"/>
    <w:bookmarkStart w:id="33"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rPr>
          <w:bCs/>
          <w:b/>
        </w:rPr>
        <w:t xml:space="preserve">Punto de control para gerentes:</w:t>
      </w:r>
      <w:r>
        <w:t xml:space="preserve"> </w:t>
      </w:r>
      <w:r>
        <w:t xml:space="preserve">Requiere un análisis por escrito del alcance y la función antes de aprobar un nuevo producto, proveedor, tecnología de seguimiento, caso de uso de inteligencia artificial o flujo internacional de datos. |</w:t>
      </w:r>
    </w:p>
    <w:p>
      <w:pPr>
        <w:pStyle w:val="BodyText"/>
      </w:pPr>
      <w:r>
        <w:t xml:space="preserve">|. |</w:t>
      </w:r>
    </w:p>
    <w:bookmarkEnd w:id="33"/>
    <w:bookmarkEnd w:id="34"/>
    <w:bookmarkStart w:id="46" w:name="principios-y-bases-legales"/>
    <w:p>
      <w:pPr>
        <w:pStyle w:val="Heading1"/>
      </w:pPr>
      <w:r>
        <w:t xml:space="preserve">3. Principios y bases legales</w:t>
      </w:r>
    </w:p>
    <w:p>
      <w:pPr>
        <w:pStyle w:val="FirstParagraph"/>
      </w:pPr>
      <w:r>
        <w:rPr>
          <w:iCs/>
          <w:i/>
        </w:rPr>
        <w:t xml:space="preserve">Las reglas que conforman cada propósito de procesamiento.</w:t>
      </w:r>
    </w:p>
    <w:p>
      <w:pPr>
        <w:pStyle w:val="CaptionedFigure"/>
      </w:pPr>
      <w:r>
        <w:drawing>
          <wp:inline>
            <wp:extent cx="5334000" cy="2902901"/>
            <wp:effectExtent b="0" l="0" r="0" t="0"/>
            <wp:docPr descr="El ciclo de vida conecta la recolección, el uso, el intercambio, la retención y la eliminación." title="" id="36" name="Picture"/>
            <a:graphic>
              <a:graphicData uri="http://schemas.openxmlformats.org/drawingml/2006/picture">
                <pic:pic>
                  <pic:nvPicPr>
                    <pic:cNvPr descr="media/image2.png" id="37" name="Picture"/>
                    <pic:cNvPicPr>
                      <a:picLocks noChangeArrowheads="1" noChangeAspect="1"/>
                    </pic:cNvPicPr>
                  </pic:nvPicPr>
                  <pic:blipFill>
                    <a:blip r:embed="rId35"/>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ciclo de vida conecta la recolección, el uso, el intercambio, la retención y la eliminación.</w:t>
      </w:r>
    </w:p>
    <w:p>
      <w:pPr>
        <w:pStyle w:val="BodyText"/>
      </w:pPr>
      <w:r>
        <w:t xml:space="preserve">Gráfico 2 Ciclo de vida de datos personales</w:t>
      </w:r>
    </w:p>
    <w:bookmarkStart w:id="38" w:name="artículo-5-principios"/>
    <w:p>
      <w:pPr>
        <w:pStyle w:val="Heading2"/>
      </w:pPr>
      <w:r>
        <w:t xml:space="preserve">3.1 Artículo 5 Principios</w:t>
      </w:r>
    </w:p>
    <w:p>
      <w:pPr>
        <w:pStyle w:val="FirstParagraph"/>
      </w:pPr>
      <w:r>
        <w:rPr>
          <w:bCs/>
          <w:b/>
        </w:rPr>
        <w:t xml:space="preserve">Principio</w:t>
      </w:r>
      <w:r>
        <w:t xml:space="preserve"> </w:t>
      </w:r>
      <w:r>
        <w:t xml:space="preserve">|</w:t>
      </w:r>
      <w:r>
        <w:t xml:space="preserve"> </w:t>
      </w:r>
      <w:r>
        <w:rPr>
          <w:bCs/>
          <w:b/>
        </w:rPr>
        <w:t xml:space="preserve">Pregunta principal</w:t>
      </w:r>
    </w:p>
    <w:p>
      <w:pPr>
        <w:pStyle w:val="BodyText"/>
      </w:pPr>
      <w:r>
        <w:t xml:space="preserve">|… |</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 Integridad y confidencialidad | ¿Son las medidas de seguridad adecuadas para el riesgo? evaluación del riesgo, pruebas de control, pruebas</w:t>
      </w:r>
      <w:r>
        <w:t xml:space="preserve"> </w:t>
      </w:r>
      <w:r>
        <w:t xml:space="preserve">¿Podemos probar lo anterior? TEN ROPA, aprobaciones, comentarios, entrenamiento, pista de auditoría |</w:t>
      </w:r>
    </w:p>
    <w:bookmarkEnd w:id="38"/>
    <w:bookmarkStart w:id="39" w:name="bases-legales-en-virtud-del-artículo-6"/>
    <w:p>
      <w:pPr>
        <w:pStyle w:val="Heading2"/>
      </w:pPr>
      <w:r>
        <w:t xml:space="preserve">3.2 Bases legales en virtud del artículo 6</w:t>
      </w:r>
    </w:p>
    <w:p>
      <w:pPr>
        <w:pStyle w:val="FirstParagraph"/>
      </w:pPr>
      <w:r>
        <w:rPr>
          <w:bCs/>
          <w:b/>
        </w:rPr>
        <w:t xml:space="preserve">Basis</w:t>
      </w:r>
      <w:r>
        <w:t xml:space="preserve"> </w:t>
      </w:r>
      <w:r>
        <w:t xml:space="preserve">|</w:t>
      </w:r>
      <w:r>
        <w:t xml:space="preserve"> </w:t>
      </w:r>
      <w:r>
        <w:rPr>
          <w:bCs/>
          <w:b/>
        </w:rPr>
        <w:t xml:space="preserve">Uso cuando</w:t>
      </w:r>
      <w:r>
        <w:t xml:space="preserve"> </w:t>
      </w:r>
      <w:r>
        <w:t xml:space="preserve">Silencioso**</w:t>
      </w:r>
    </w:p>
    <w:p>
      <w:pPr>
        <w:pStyle w:val="BodyText"/>
      </w:pPr>
      <w:r>
        <w:t xml:space="preserve">|……… |</w:t>
      </w:r>
      <w:r>
        <w:t xml:space="preserve"> </w:t>
      </w:r>
      <w:r>
        <w:t xml:space="preserve">| La persona tiene una opción real y puede retirar | No hacer un paquete o presión consentimiento</w:t>
      </w:r>
      <w:r>
        <w:t xml:space="preserve"> </w:t>
      </w:r>
      <w:r>
        <w:t xml:space="preserve">← Contrato | Procesamiento es objetivamente necesario para un contrato con la persona o los pasos previos solicitados | no es la necesidad</w:t>
      </w:r>
      <w:r>
        <w:t xml:space="preserve"> </w:t>
      </w:r>
      <w:r>
        <w:t xml:space="preserve">← La obligación legal Silencioso La UE o la ley del Estado miembro requiere procesamiento |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 Un interés real es necesario y no está anulado por los derechos de la persona | Complete y mantenga una prueba de equilibrio |</w:t>
      </w:r>
    </w:p>
    <w:bookmarkEnd w:id="39"/>
    <w:bookmarkStart w:id="43"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numPr>
          <w:ilvl w:val="0"/>
          <w:numId w:val="1004"/>
        </w:numPr>
        <w:pStyle w:val="Compact"/>
      </w:pPr>
      <w:r>
        <w:t xml:space="preserve">Derechos de Asunto de datos</w:t>
      </w:r>
    </w:p>
    <w:p>
      <w:pPr>
        <w:pStyle w:val="FirstParagraph"/>
      </w:pPr>
      <w:r>
        <w:rPr>
          <w:iCs/>
          <w:i/>
        </w:rPr>
        <w:t xml:space="preserve">Cómo recibir, evaluar, completar y documentar solicitudes</w:t>
      </w:r>
      <w:r>
        <w:t xml:space="preserve">.</w:t>
      </w:r>
    </w:p>
    <w:p>
      <w:pPr>
        <w:pStyle w:val="CaptionedFigure"/>
      </w:pPr>
      <w:r>
        <w:drawing>
          <wp:inline>
            <wp:extent cx="5334000" cy="2902901"/>
            <wp:effectExtent b="0" l="0" r="0" t="0"/>
            <wp:docPr descr="Un flujo de trabajo de cinco pasos cubre la recepción hasta el resultado registrado." title="" id="41" name="Picture"/>
            <a:graphic>
              <a:graphicData uri="http://schemas.openxmlformats.org/drawingml/2006/picture">
                <pic:pic>
                  <pic:nvPicPr>
                    <pic:cNvPr descr="media/image3.png" id="42" name="Picture"/>
                    <pic:cNvPicPr>
                      <a:picLocks noChangeArrowheads="1" noChangeAspect="1"/>
                    </pic:cNvPicPr>
                  </pic:nvPicPr>
                  <pic:blipFill>
                    <a:blip r:embed="rId4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Un flujo de trabajo de cinco pasos cubre la recepción hasta el resultado registrado.</w:t>
      </w:r>
    </w:p>
    <w:p>
      <w:pPr>
        <w:pStyle w:val="BodyText"/>
      </w:pPr>
      <w:r>
        <w:t xml:space="preserve">Figure 3. Data-subject-rights workflow</w:t>
      </w:r>
    </w:p>
    <w:p>
      <w:pPr>
        <w:pStyle w:val="BodyText"/>
      </w:pPr>
      <w:r>
        <w:rPr>
          <w:bCs/>
          <w:b/>
        </w:rPr>
        <w:t xml:space="preserve">Justo</w:t>
      </w:r>
      <w:r>
        <w:t xml:space="preserve"> </w:t>
      </w:r>
      <w:r>
        <w:t xml:space="preserve">Silencioso</w:t>
      </w:r>
      <w:r>
        <w:t xml:space="preserve"> </w:t>
      </w:r>
      <w:r>
        <w:rPr>
          <w:bCs/>
          <w:b/>
        </w:rPr>
        <w:t xml:space="preserve">Trabajo práctico</w:t>
      </w:r>
      <w:r>
        <w:t xml:space="preserve"> </w:t>
      </w:r>
      <w:r>
        <w:t xml:space="preserve">|</w:t>
      </w:r>
    </w:p>
    <w:p>
      <w:pPr>
        <w:pStyle w:val="BodyText"/>
      </w:pPr>
      <w:r>
        <w:t xml:space="preserve">|. |</w:t>
      </w:r>
      <w:r>
        <w:t xml:space="preserve"> </w:t>
      </w:r>
      <w:r>
        <w:t xml:space="preserve">| Información | Dar avisos claros y oportunos | Avisos, niños, colección indirecta |</w:t>
      </w:r>
      <w:r>
        <w:t xml:space="preserve"> </w:t>
      </w:r>
      <w:r>
        <w:t xml:space="preserve">← Acceso | Buscar, revisar, redactar donde lícito, y entregar de forma segura Derechos de otras personas, identidad, sistemas completos</w:t>
      </w:r>
      <w:r>
        <w:t xml:space="preserve"> </w:t>
      </w:r>
      <w:r>
        <w:t xml:space="preserve">| Rectificación |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 Proporcionar datos de calificación en un formato reutilizable TEN Sólo ciertos procesamiento automatizado y datos suministrados/observados |</w:t>
      </w:r>
      <w:r>
        <w:t xml:space="preserve"> </w:t>
      </w:r>
      <w:r>
        <w:t xml:space="preserve">TENCIÓN |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43"/>
    <w:bookmarkStart w:id="44"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44"/>
    <w:bookmarkStart w:id="45"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45"/>
    <w:bookmarkEnd w:id="46"/>
    <w:bookmarkStart w:id="50" w:name="controller-and-processor-governance"/>
    <w:p>
      <w:pPr>
        <w:pStyle w:val="Heading1"/>
      </w:pPr>
      <w:r>
        <w:t xml:space="preserve">5. Controller and Processor Governance</w:t>
      </w:r>
    </w:p>
    <w:p>
      <w:pPr>
        <w:pStyle w:val="FirstParagraph"/>
      </w:pPr>
      <w:r>
        <w:rPr>
          <w:iCs/>
          <w:i/>
        </w:rPr>
        <w:t xml:space="preserve">Los registros operativos, contratos, funciones y exámenes que hacen real la rendición de cuentas</w:t>
      </w:r>
      <w:r>
        <w:t xml:space="preserve">.</w:t>
      </w:r>
    </w:p>
    <w:bookmarkStart w:id="47"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47"/>
    <w:bookmarkStart w:id="48"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48"/>
    <w:bookmarkStart w:id="49" w:name="accountability-records"/>
    <w:p>
      <w:pPr>
        <w:pStyle w:val="Heading2"/>
      </w:pPr>
      <w:r>
        <w:t xml:space="preserve">5.3 Accountability records</w:t>
      </w:r>
    </w:p>
    <w:p>
      <w:pPr>
        <w:pStyle w:val="FirstParagraph"/>
      </w:pPr>
      <w:r>
        <w:rPr>
          <w:bCs/>
          <w:b/>
        </w:rPr>
        <w:t xml:space="preserve">Record</w:t>
      </w:r>
      <w:r>
        <w:t xml:space="preserve"> </w:t>
      </w:r>
      <w:r>
        <w:t xml:space="preserve">|</w:t>
      </w:r>
    </w:p>
    <w:p>
      <w:pPr>
        <w:pStyle w:val="BodyText"/>
      </w:pPr>
      <w:r>
        <w:t xml:space="preserve">La vida… la vida… la muerte… la muerte…</w:t>
      </w:r>
      <w:r>
        <w:t xml:space="preserve"> </w:t>
      </w:r>
      <w:r>
        <w:t xml:space="preserve">TEN ROPA | Programa de privacidad + propietario de negocios | Nuevo o cambiado proceso</w:t>
      </w:r>
      <w:r>
        <w:t xml:space="preserve"> </w:t>
      </w:r>
      <w:r>
        <w:t xml:space="preserve">| Avisos de privacidad | Legal/privacy + producto | Propósito, fuente, destinatario o cambio de derecho |</w:t>
      </w:r>
      <w:r>
        <w:t xml:space="preserve"> </w:t>
      </w:r>
      <w:r>
        <w:t xml:space="preserve">Silencioso Registro del vendedor Silencioso Adquisiciones/privacia/seguridad</w:t>
      </w:r>
      <w:r>
        <w:t xml:space="preserve"> </w:t>
      </w:r>
      <w:r>
        <w:t xml:space="preserve">| Programa de retención Silenciosos Registros/legales/privacy ← Legal, system, or business change |</w:t>
      </w:r>
      <w:r>
        <w:t xml:space="preserve"> </w:t>
      </w:r>
      <w:r>
        <w:t xml:space="preserve">tención Derechos legales confidencialidad Operaciones de privacidad | Solicitud, queja, retraso</w:t>
      </w:r>
      <w:r>
        <w:t xml:space="preserve"> </w:t>
      </w:r>
      <w:r>
        <w:t xml:space="preserve">| DPIA registre | Privacidad/DPO | Función de alto riesgo o cambio material</w:t>
      </w:r>
    </w:p>
    <w:bookmarkEnd w:id="49"/>
    <w:bookmarkEnd w:id="50"/>
    <w:bookmarkStart w:id="55" w:name="seguridad-y-datos-personales"/>
    <w:p>
      <w:pPr>
        <w:pStyle w:val="Heading1"/>
      </w:pPr>
      <w:r>
        <w:t xml:space="preserve">6. Seguridad y Datos Personales</w:t>
      </w:r>
    </w:p>
    <w:p>
      <w:pPr>
        <w:numPr>
          <w:ilvl w:val="0"/>
          <w:numId w:val="1006"/>
        </w:numPr>
        <w:pStyle w:val="Compact"/>
      </w:pPr>
      <w:r>
        <w:t xml:space="preserve">Salvaguardias basadas en el ruido, hechos de incidentes, decisiones de notificación y pruebas*.</w:t>
      </w:r>
    </w:p>
    <w:p>
      <w:pPr>
        <w:pStyle w:val="CaptionedFigure"/>
      </w:pPr>
      <w:r>
        <w:drawing>
          <wp:inline>
            <wp:extent cx="5334000" cy="2997916"/>
            <wp:effectExtent b="0" l="0" r="0" t="0"/>
            <wp:docPr descr="Contener, evaluar, decidir y mejorar se muestran como un proceso conectado." title="" id="52" name="Picture"/>
            <a:graphic>
              <a:graphicData uri="http://schemas.openxmlformats.org/drawingml/2006/picture">
                <pic:pic>
                  <pic:nvPicPr>
                    <pic:cNvPr descr="media/image4.png" id="53" name="Picture"/>
                    <pic:cNvPicPr>
                      <a:picLocks noChangeArrowheads="1" noChangeAspect="1"/>
                    </pic:cNvPicPr>
                  </pic:nvPicPr>
                  <pic:blipFill>
                    <a:blip r:embed="rId51"/>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Contener, evaluar, decidir y mejorar se muestran como un proceso conectado.</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54" w:name="breach-decisions"/>
    <w:p>
      <w:pPr>
        <w:pStyle w:val="Heading2"/>
      </w:pPr>
      <w:r>
        <w:t xml:space="preserve">6.2 Breach decisions</w:t>
      </w:r>
    </w:p>
    <w:p>
      <w:pPr>
        <w:pStyle w:val="FirstParagraph"/>
      </w:pPr>
      <w:r>
        <w:rPr>
          <w:bCs/>
          <w:b/>
        </w:rPr>
        <w:t xml:space="preserve">Pregunta</w:t>
      </w:r>
      <w:r>
        <w:t xml:space="preserve"> </w:t>
      </w:r>
      <w:r>
        <w:t xml:space="preserve">|</w:t>
      </w:r>
    </w:p>
    <w:p>
      <w:pPr>
        <w:pStyle w:val="BodyText"/>
      </w:pPr>
      <w:r>
        <w:t xml:space="preserve">|———————————————————————————————————————————————————————————————- La vida eterna… |</w:t>
      </w:r>
      <w:r>
        <w:t xml:space="preserve"> </w:t>
      </w:r>
      <w:r>
        <w:t xml:space="preserve">¿Había destrucción, pérdida, alteración, revelación no autorizada o acceso no autorizado a datos personales? |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Cs/>
          <w:b/>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 |</w:t>
      </w:r>
    </w:p>
    <w:bookmarkEnd w:id="54"/>
    <w:bookmarkEnd w:id="55"/>
    <w:bookmarkStart w:id="59" w:name="dpia-privacy-by-design-and-the-dpo"/>
    <w:p>
      <w:pPr>
        <w:pStyle w:val="Heading1"/>
      </w:pPr>
      <w:r>
        <w:t xml:space="preserve">7. DPIA, Privacy by Design, and the DPO</w:t>
      </w:r>
    </w:p>
    <w:p>
      <w:pPr>
        <w:pStyle w:val="FirstParagraph"/>
      </w:pPr>
      <w:r>
        <w:rPr>
          <w:iCs/>
          <w:i/>
        </w:rPr>
        <w:t xml:space="preserve">Cómo encontrar el procesamiento temprano de alto riesgo y establecer salvaguardias en las decisiones</w:t>
      </w:r>
      <w:r>
        <w:t xml:space="preserve">.</w:t>
      </w:r>
    </w:p>
    <w:bookmarkStart w:id="56"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56"/>
    <w:bookmarkStart w:id="57"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57"/>
    <w:bookmarkStart w:id="58"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58"/>
    <w:bookmarkEnd w:id="59"/>
    <w:bookmarkStart w:id="68" w:name="transferencias-internacionales-de-datos"/>
    <w:p>
      <w:pPr>
        <w:pStyle w:val="Heading1"/>
      </w:pPr>
      <w:r>
        <w:t xml:space="preserve">8. Transferencias internacionales de datos</w:t>
      </w:r>
    </w:p>
    <w:p>
      <w:pPr>
        <w:pStyle w:val="FirstParagraph"/>
      </w:pPr>
      <w:r>
        <w:rPr>
          <w:iCs/>
          <w:i/>
        </w:rPr>
        <w:t xml:space="preserve">Cómo identificar las transferencias y utilizar herramientas legales de transferencia.</w:t>
      </w:r>
    </w:p>
    <w:bookmarkStart w:id="60"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60"/>
    <w:bookmarkStart w:id="61" w:name="common-transfer-evidence"/>
    <w:p>
      <w:pPr>
        <w:pStyle w:val="Heading2"/>
      </w:pPr>
      <w:r>
        <w:t xml:space="preserve">8.2 Common transfer evidence</w:t>
      </w:r>
    </w:p>
    <w:p>
      <w:pPr>
        <w:pStyle w:val="FirstParagraph"/>
      </w:pPr>
      <w:r>
        <w:rPr>
          <w:bCs/>
          <w:b/>
        </w:rPr>
        <w:t xml:space="preserve">Item</w:t>
      </w:r>
      <w:r>
        <w:t xml:space="preserve"> </w:t>
      </w:r>
      <w:r>
        <w:t xml:space="preserve">|</w:t>
      </w:r>
      <w:r>
        <w:t xml:space="preserve"> </w:t>
      </w:r>
      <w:r>
        <w:rPr>
          <w:bCs/>
          <w:b/>
        </w:rPr>
        <w:t xml:space="preserve">Lo que debe mostrarse</w:t>
      </w:r>
      <w:r>
        <w:t xml:space="preserve"> </w:t>
      </w:r>
      <w:r>
        <w:t xml:space="preserve">|… |</w:t>
      </w:r>
      <w:r>
        <w:t xml:space="preserve"> </w:t>
      </w:r>
      <w:r>
        <w:t xml:space="preserve">| Mapa de Transferencia Silenciosos Datos, propósito, sistemas, países, receptores, acceso remoto, transferencias hacia adelante |</w:t>
      </w:r>
      <w:r>
        <w:t xml:space="preserve"> </w:t>
      </w:r>
      <w:r>
        <w:t xml:space="preserve">mecanismo de transferencia permanente Silencioso, módulo SCC, BCR, código/certificación aprobado o derogación estrecha</w:t>
      </w:r>
      <w:r>
        <w:t xml:space="preserve"> </w:t>
      </w:r>
      <w:r>
        <w:t xml:space="preserve">| ANTERIOR ANTERIOR DE LA LEY Y LA Práctica, peticiones, salvaguardias, riesgos y conclusión |</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numPr>
          <w:ilvl w:val="0"/>
          <w:numId w:val="1009"/>
        </w:numPr>
        <w:pStyle w:val="Compact"/>
      </w:pPr>
      <w:r>
        <w:t xml:space="preserve">Guía completa del artículo por artículo</w:t>
      </w:r>
    </w:p>
    <w:p>
      <w:pPr>
        <w:pStyle w:val="FirstParagraph"/>
      </w:pPr>
      <w:r>
        <w:rPr>
          <w:iCs/>
          <w:i/>
        </w:rPr>
        <w:t xml:space="preserve">Una guía de trabajo concisa para todos los artículos 99 GDPR. Utilice el texto legal oficial para el análisis legal real.</w:t>
      </w:r>
    </w:p>
    <w:p>
      <w:pPr>
        <w:pStyle w:val="BodyText"/>
      </w:pPr>
      <w:r>
        <w:rPr>
          <w:bCs/>
          <w:b/>
        </w:rPr>
        <w:t xml:space="preserve">Cómo leer este capítulo:</w:t>
      </w:r>
      <w:r>
        <w:t xml:space="preserve"> </w:t>
      </w:r>
      <w:r>
        <w:t xml:space="preserve">La tabla explica cada artículo en lenguaje claro. Las columnas de acción y evidencia del administrador son puntos de partida prácticos, no una opinión jurídica completa. |</w:t>
      </w:r>
      <w:r>
        <w:t xml:space="preserve"> </w:t>
      </w:r>
      <w:r>
        <w:t xml:space="preserve">|. |</w:t>
      </w:r>
    </w:p>
    <w:p>
      <w:pPr>
        <w:pStyle w:val="BodyText"/>
      </w:pPr>
      <w:r>
        <w:t xml:space="preserve">Capítulo I - Disposiciones generales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1</w:t>
            </w:r>
          </w:p>
        </w:tc>
      </w:tr>
      <w:tr>
        <w:tc>
          <w:tcPr/>
          <w:p>
            <w:pPr>
              <w:pStyle w:val="Compact"/>
              <w:jc w:val="left"/>
            </w:pPr>
            <w:r>
              <w:t xml:space="preserve">TEN 2</w:t>
            </w:r>
          </w:p>
        </w:tc>
      </w:tr>
      <w:tr>
        <w:tc>
          <w:tcPr/>
          <w:p>
            <w:pPr>
              <w:pStyle w:val="Compact"/>
              <w:jc w:val="left"/>
            </w:pPr>
            <w:r>
              <w:t xml:space="preserve">3</w:t>
            </w:r>
          </w:p>
        </w:tc>
      </w:tr>
      <w:tr>
        <w:tc>
          <w:tcPr/>
          <w:p>
            <w:pPr>
              <w:pStyle w:val="Compact"/>
              <w:jc w:val="left"/>
            </w:pPr>
            <w:r>
              <w:t xml:space="preserve">4</w:t>
            </w:r>
          </w:p>
        </w:tc>
      </w:tr>
    </w:tbl>
    <w:bookmarkEnd w:id="61"/>
    <w:bookmarkStart w:id="62" w:name="capítulo-ii---principios"/>
    <w:p>
      <w:pPr>
        <w:pStyle w:val="Heading2"/>
      </w:pPr>
      <w:r>
        <w:t xml:space="preserve">9.2 Capítulo II - Principios</w:t>
      </w:r>
    </w:p>
    <w:p>
      <w:pPr>
        <w:pStyle w:val="FirstParagraph"/>
      </w:pPr>
      <w:r>
        <w:rPr>
          <w:bCs/>
          <w:b/>
        </w:rPr>
        <w:t xml:space="preserve">Art.</w:t>
      </w:r>
      <w:r>
        <w:t xml:space="preserve"> </w:t>
      </w:r>
      <w:r>
        <w:t xml:space="preserve">| ** Tema del artículo**</w:t>
      </w:r>
    </w:p>
    <w:p>
      <w:pPr>
        <w:pStyle w:val="BodyText"/>
      </w:pP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 Mapa de cada propósito, tipo de datos, base legal, salvaguardia y prueba. ← ROPA, registro legal, consentimiento o prueba de excepción</w:t>
      </w:r>
      <w:r>
        <w:t xml:space="preserve"> </w:t>
      </w:r>
      <w:r>
        <w:t xml:space="preserve">TEN 6 | Abogado del procesamiento ANTERI Requiere al menos una base legal válida para cada propósito de procesamiento. | Mapa de cada propósito, tipo de datos, base legal, salvaguardia y prueba. ← ROPA, registro legal, consentimiento o prueba de excepción</w:t>
      </w:r>
      <w:r>
        <w:t xml:space="preserve"> </w:t>
      </w:r>
      <w:r>
        <w:t xml:space="preserve">| 7 | Condiciones para el consentimiento | Consentimiento debe ser demostrable, claro, separado cuando sea apropiado, y tan fácil de retirar en cuanto a dar. | Mapa de cada propósito, tipo de datos, base legal, salvaguardia y prueba. ← ROPA, registro legal, consentimiento o prueba de excepción</w:t>
      </w:r>
      <w:r>
        <w:t xml:space="preserve"> </w:t>
      </w:r>
      <w:r>
        <w:t xml:space="preserve">| 8 | El consentimiento de los niños para los servicios de información-sociedad | establece reglas para el consentimiento de un niño en ciertos servicios en línea y permite a los Estados Miembros fijar la edad de 13 a 16. | Mapa de cada propósito, tipo de datos, base legal, salvaguardia y prueba. ← ROPA, registro legal, consentimiento o prueba de excepción</w:t>
      </w:r>
      <w:r>
        <w:t xml:space="preserve"> </w:t>
      </w:r>
      <w:r>
        <w:t xml:space="preserve">TEN 9 | Categorías especiales de datos personales | Generalmente, prohíbe el procesamiento de datos sensibles a menos que se aplique una excepción. | Mapa de cada propósito, tipo de datos, base legal, salvaguardia y prueba. ← ROPA, registro legal, consentimiento o prueba de excepción</w:t>
      </w:r>
      <w:r>
        <w:t xml:space="preserve"> </w:t>
      </w:r>
      <w:r>
        <w:t xml:space="preserve">| 10 | Penal-condena y datos de delitos | Limita este procesamiento a la autoridad oficial o al procesamiento autorizado por la ley con salvaguardias. | Mapa de cada propósito, tipo de datos, base legal, salvaguardia y prueba. ← ROPA, registro legal, consentimiento o prueba de excepción</w:t>
      </w:r>
      <w:r>
        <w:t xml:space="preserve"> </w:t>
      </w:r>
      <w:r>
        <w:t xml:space="preserve">| 11 | Procesar no requerir identificación | No requiere mantener datos de identificación adicionales sólo para cumplir cuando no se necesita identificación. | Mapa de cada propósito, tipo de datos, base legal, salvaguardia y prueba. ← ROPA, registro legal, consentimiento o prueba de excepción</w:t>
      </w:r>
    </w:p>
    <w:bookmarkEnd w:id="62"/>
    <w:bookmarkStart w:id="63" w:name="Xe778e60ae37dec975589547671413bd1ccb1f95"/>
    <w:p>
      <w:pPr>
        <w:pStyle w:val="Heading2"/>
      </w:pPr>
      <w:r>
        <w:t xml:space="preserve">9.3 Capítulo III - Derechos del sujeto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TEN 15</w:t>
            </w:r>
          </w:p>
        </w:tc>
      </w:tr>
      <w:tr>
        <w:tc>
          <w:tcPr/>
          <w:p>
            <w:pPr>
              <w:pStyle w:val="Compact"/>
              <w:jc w:val="left"/>
            </w:pPr>
            <w:r>
              <w:t xml:space="preserve">16</w:t>
            </w:r>
          </w:p>
        </w:tc>
      </w:tr>
      <w:tr>
        <w:tc>
          <w:tcPr/>
          <w:p>
            <w:pPr>
              <w:pStyle w:val="Compact"/>
              <w:jc w:val="left"/>
            </w:pPr>
            <w:r>
              <w:t xml:space="preserve">TEN 17 ANTERIENTE Derecho a la erradicación de la vida Requiere la supresión en situaciones enumeradas, sujetas a excepciones legales.</w:t>
            </w:r>
          </w:p>
        </w:tc>
      </w:tr>
      <w:tr>
        <w:tc>
          <w:tcPr/>
          <w:p>
            <w:pPr>
              <w:pStyle w:val="Compact"/>
              <w:jc w:val="left"/>
            </w:pPr>
            <w:r>
              <w:t xml:space="preserve">18</w:t>
            </w:r>
          </w:p>
        </w:tc>
      </w:tr>
      <w:tr>
        <w:tc>
          <w:tcPr/>
          <w:p>
            <w:pPr>
              <w:pStyle w:val="Compact"/>
              <w:jc w:val="left"/>
            </w:pPr>
            <w:r>
              <w:t xml:space="preserve">19</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bl>
    <w:bookmarkEnd w:id="63"/>
    <w:bookmarkStart w:id="64" w:name="capítulo-iv---controlador-y-procesador"/>
    <w:p>
      <w:pPr>
        <w:pStyle w:val="Heading2"/>
      </w:pPr>
      <w:r>
        <w:t xml:space="preserve">9.4 Capítulo IV - Controlador y procesador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24</w:t>
            </w:r>
          </w:p>
        </w:tc>
      </w:tr>
    </w:tbl>
    <w:p>
      <w:pPr>
        <w:pStyle w:val="BodyText"/>
      </w:pP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 26 |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 27 |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 28 | Procesador | Requiere procesadores adecuados y contratos detallados u otros actos legales que rigen el procesamiento. | Asignar funciones, contratos, instrucciones, registros y responsabilidad. tención de políticas, RACI, contratos, instrucciones, ROPA</w:t>
      </w:r>
      <w:r>
        <w:t xml:space="preserve"> </w:t>
      </w:r>
      <w:r>
        <w:t xml:space="preserve">| 29 | Procesamiento bajo autoridad | Limita personal y procesadores a instrucciones a menos que la ley requiera otra cosa. tención Assign roles, contratos, instrucciones, registros y rendición de cuentas. tención de políticas, RACI, contratos, instrucciones, ROPA</w:t>
      </w:r>
      <w:r>
        <w:t xml:space="preserve"> </w:t>
      </w:r>
      <w:r>
        <w:t xml:space="preserve">| 30 | Registros de actividades de procesamiento |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 31 | Cooperación con la autoridad supervisora | Requiere cooperación con el regulador cuando se le solicite. tención Assign roles, contratos, instrucciones, registros y rendición de cuentas. tención de políticas, RACI, contratos, instrucciones, ROPA</w:t>
      </w:r>
      <w:r>
        <w:t xml:space="preserve"> </w:t>
      </w:r>
      <w:r>
        <w:t xml:space="preserve">| 32 | Seguridad del procesamiento | Requiere seguridad apropiada para el riesgo, incluyendo resiliencia, restauración, pruebas y medidas tales como encriptación cuando sea adecuado. | Operar la seguridad basada en el riesgo y un proceso de respuesta al incumplimiento probado. | Evaluación de riesgos, controles, registros, incidentes e infracciones</w:t>
      </w:r>
      <w:r>
        <w:t xml:space="preserve"> </w:t>
      </w:r>
      <w:r>
        <w:t xml:space="preserve">TEN 33 | Notificación de una violación a la autoridad supervisora TEN Requiere notificación del controlador sin demora indebida y, cuando sea factible, dentro de 72 horas a menos que la violación no pueda crear riesgo. | Operar la seguridad basada en el riesgo y un proceso de respuesta al incumplimiento probado. | Evaluación de riesgos, controles, registros, incidentes e infracciones</w:t>
      </w:r>
      <w:r>
        <w:t xml:space="preserve"> </w:t>
      </w:r>
      <w:r>
        <w:t xml:space="preserve">TEN 34 | Comunicación de una violación a los datos sujetos TENENCIA Requiere aviso a las personas afectadas cuando es probable que una violación crea alto riesgo, sujeto a excepciones. | Operar la seguridad basada en el riesgo y un proceso de respuesta al incumplimiento probado. | Evaluación de riesgos, controles, registros, incidentes e infracciones</w:t>
      </w:r>
      <w:r>
        <w:t xml:space="preserve"> </w:t>
      </w:r>
      <w:r>
        <w:t xml:space="preserve">| 35 | Evaluación del impacto de la protección de datos | Requiere un DPIA antes de procesarlo probablemente crear un alto riesgo. tención Screen trabajo de alto riesgo, apoyar el DPO, y consultar cuando sea necesario. pantalla DPIA, DPIA, registro DPO, archivo de consulta</w:t>
      </w:r>
      <w:r>
        <w:t xml:space="preserve"> </w:t>
      </w:r>
      <w:r>
        <w:t xml:space="preserve">| 36 | Consulta previa |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 Designación del oficial de protección de datos | Listas cuando se debe nombrar un DPO y permitir el nombramiento voluntario. |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 Analice el trabajo de alto riesgo, apoye el DPO y consulte cuando sea necesario. pantalla DPIA, DPIA, registro DPO, archivo de consulta</w:t>
      </w:r>
      <w:r>
        <w:t xml:space="preserve"> </w:t>
      </w:r>
      <w:r>
        <w:t xml:space="preserve">TEN 39 | Tareas del oficial de protección de datos | Listas consejos, monitoreo, DPIA, cooperación y funciones regulador-contacto. tención Screen trabajo de alto riesgo, apoyar el DPO, y consultar cuando sea necesario. pantalla DPIA, DPIA, registro DPO, archivo de consulta</w:t>
      </w:r>
      <w:r>
        <w:t xml:space="preserve"> </w:t>
      </w:r>
      <w:r>
        <w:t xml:space="preserve">| 40 | Códigos de conducta | Permite que los códigos sectoriales ayuden a aplicar los requisitos GDPR. | Utilice códigos o certificación sólo con alcance claro, supervisión y prueba. | Alcance de código o certificación, monitoreo y conclusiones</w:t>
      </w:r>
      <w:r>
        <w:t xml:space="preserve"> </w:t>
      </w:r>
      <w:r>
        <w:t xml:space="preserve">TEN 41 | Monitoreo de códigos aprobados | Establece requisitos para los órganos que supervisan el cumplimiento de los códigos aprobados. | Utilice códigos o certificación sólo con alcance claro, supervisión y prueba. | Alcance de código o certificación, monitoreo y conclusiones</w:t>
      </w:r>
      <w:r>
        <w:t xml:space="preserve"> </w:t>
      </w:r>
      <w:r>
        <w:t xml:space="preserve">| 42 | Certificación | Permite la certificación voluntaria de mecanismos, sellos y marcas sin reducir la responsabilidad del controlador o del procesador. | Utilice códigos o certificación sólo con alcance claro, supervisión y prueba. | Alcance de código o certificación, monitoreo y conclusiones</w:t>
      </w:r>
      <w:r>
        <w:t xml:space="preserve"> </w:t>
      </w:r>
      <w:r>
        <w:t xml:space="preserve">| 43 | Órganos de certificación | Establece acreditación y requisitos operativos para los órganos de certificación. | Utilice códigos o certificación sólo con alcance claro, supervisión y prueba. | Alcance de código o certificación, monitoreo y conclusiones</w:t>
      </w:r>
    </w:p>
    <w:bookmarkEnd w:id="64"/>
    <w:bookmarkStart w:id="65" w:name="X3c73625674c00d068253ebfaa717a159ae7c9f6"/>
    <w:p>
      <w:pPr>
        <w:pStyle w:val="Heading2"/>
      </w:pPr>
      <w:r>
        <w:t xml:space="preserve">9.5 Capítulo V - Transferencias a terceros países o organizaciones internacionales</w:t>
      </w:r>
    </w:p>
    <w:p>
      <w:pPr>
        <w:pStyle w:val="FirstParagraph"/>
      </w:pPr>
      <w:r>
        <w:rPr>
          <w:bCs/>
          <w:b/>
        </w:rPr>
        <w:t xml:space="preserve">Art.</w:t>
      </w:r>
      <w:r>
        <w:t xml:space="preserve"> </w:t>
      </w:r>
      <w:r>
        <w:t xml:space="preserve">| ** Tema del artículo**</w:t>
      </w:r>
    </w:p>
    <w:p>
      <w:pPr>
        <w:pStyle w:val="BodyText"/>
      </w:pPr>
      <w:r>
        <w:t xml:space="preserve">|———————————————————————————————————————————————————————————————————————————————————————————————————————————————————————— La vida– |</w:t>
      </w:r>
      <w:r>
        <w:t xml:space="preserve"> </w:t>
      </w:r>
      <w:r>
        <w:t xml:space="preserve">| 44 | Principio general para las transferencias |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 45 |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 46 | Transferencias sujetas a las salvaguardias adecuadas |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 47 | Normas corporativas vinculantes |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 Las transferencias o revelaciones no autorizadas por la Ley de la Unión |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 49 | Derogaciones para situaciones específicas |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 50 | Cooperación internacional |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rPr>
          <w:bCs/>
          <w:b/>
        </w:rPr>
        <w:t xml:space="preserve">Art.</w:t>
      </w:r>
      <w:r>
        <w:t xml:space="preserve"> </w:t>
      </w:r>
      <w:r>
        <w:t xml:space="preserve">| ** Tema del artículo**</w:t>
      </w:r>
    </w:p>
    <w:p>
      <w:pPr>
        <w:pStyle w:val="BodyText"/>
      </w:pPr>
      <w:r>
        <w:t xml:space="preserve">|———————————————————————————- La vida————————————————————– El sufrimiento—- |</w:t>
      </w:r>
      <w:r>
        <w:t xml:space="preserve"> </w:t>
      </w:r>
      <w:r>
        <w:t xml:space="preserve">TEN 51 TERRITORIO DE LA SUPERVISIÓN Requiere a cada Estado Miembro que proporcione una o más autoridades públicas independientes. | Conocer el regulador, el camino de cooperación y los registros necesarios para asuntos transfronterizos. | Autoridad correspondencia, expediente de caso, historial de cooperación</w:t>
      </w:r>
      <w:r>
        <w:t xml:space="preserve"> </w:t>
      </w:r>
      <w:r>
        <w:t xml:space="preserve">| 52 | Independencia | Requiere a las autoridades y a sus miembros actuar independientemente y sin instrucción externa. | Conocer el regulador, el camino de cooperación y los registros necesarios para asuntos transfronterizos. | Autoridad correspondencia, expediente de caso, historial de cooperación</w:t>
      </w:r>
      <w:r>
        <w:t xml:space="preserve"> </w:t>
      </w:r>
      <w:r>
        <w:t xml:space="preserve">| 53 | Condiciones generales para los miembros | Establecer condiciones para el nombramiento, la calificación y la conducta de los miembros de la autoridad. | Conocer el regulador, el camino de cooperación y los registros necesarios para asuntos transfronterizos. | Autoridad correspondencia, expediente de caso, historial de cooperación</w:t>
      </w:r>
      <w:r>
        <w:t xml:space="preserve"> </w:t>
      </w:r>
      <w:r>
        <w:t xml:space="preserve">| 54 | Reglas sobre el establecimiento | Requiere la ley de los Estados Miembros para definir el establecimiento, poderes, términos y reglas conexas. | Conocer el regulador, el camino de cooperación y los registros necesarios para asuntos transfronterizos. | Autoridad correspondencia, expediente de caso, historial de cooperación</w:t>
      </w:r>
      <w:r>
        <w:t xml:space="preserve"> </w:t>
      </w:r>
      <w:r>
        <w:t xml:space="preserve">TEN 55 | Competencia TENIENDO Define la autoridad general de cada autoridad supervisora dentro de su territorio. | Conocer el regulador, el camino de cooperación y los registros necesarios para asuntos transfronterizos. | Autoridad correspondencia, expediente de caso, historial de cooperación</w:t>
      </w:r>
      <w:r>
        <w:t xml:space="preserve"> </w:t>
      </w:r>
      <w:r>
        <w:t xml:space="preserve">TEN 56 | autoridad de supervisión de plomo | Establece las reglas de autoría de una sola planta para el procesamiento transfronterizo. | Conocer el regulador, el camino de cooperación y los registros necesarios para asuntos transfronterizos. | Autoridad correspondencia, expediente de caso, historial de cooperación</w:t>
      </w:r>
      <w:r>
        <w:t xml:space="preserve"> </w:t>
      </w:r>
      <w:r>
        <w:t xml:space="preserve">TEN 57 TENIDOS Tareas TENIENDO Las funciones de regulador de listas, incluyendo monitoreo, conciencia, quejas, investigaciones y orientación. | Conocer el regulador, el camino de cooperación y los registros necesarios para asuntos transfronterizos. | Autoridad correspondencia, expediente de caso, historial de cooperación</w:t>
      </w:r>
      <w:r>
        <w:t xml:space="preserve"> </w:t>
      </w:r>
      <w:r>
        <w:t xml:space="preserve">TEN 58 TERRITORIDADES TENIDA Listas facultades de investigación, corrección, autorización y asesoramiento. | Conocer el regulador, el camino de cooperación y los registros necesarios para asuntos transfronterizos. | Autoridad correspondencia, expediente de caso, historial de cooperación</w:t>
      </w:r>
      <w:r>
        <w:t xml:space="preserve"> </w:t>
      </w:r>
      <w:r>
        <w:t xml:space="preserve">TEN 59 | Informes de actividad TEN Requiere informes públicos anuales de las autoridades supervisoras. | Conocer el regulador, el camino de cooperación y los registros necesarios para asuntos transfronterizos. | Autoridad correspondencia, expediente de caso, historial de cooperación</w:t>
      </w:r>
    </w:p>
    <w:p>
      <w:pPr>
        <w:pStyle w:val="BodyText"/>
      </w:pPr>
      <w:r>
        <w:t xml:space="preserve">Capítulo VII - Cooperación y coherencia</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tención 60 | Cooperación entre las autoridades principales y las autoridades interesadas | Crea el proceso de cooperación para casos transfronterizos. Conocer el regulador, el camino de cooperación y los registros necesarios para asuntos transfronterizos. | Autoridad correspondencia, expediente de caso, historial de cooperación</w:t>
      </w:r>
      <w:r>
        <w:t xml:space="preserve"> </w:t>
      </w:r>
      <w:r>
        <w:t xml:space="preserve">| 61 | Asistencia mutua | Requiere a las autoridades proporcionar información y asistencia pertinentes unos a otros. | Conocer el regulador, el camino de cooperación y los registros necesarios para asuntos transfronterizos. | Autoridad correspondencia, expediente de caso, historial de cooperación</w:t>
      </w:r>
      <w:r>
        <w:t xml:space="preserve"> </w:t>
      </w:r>
      <w:r>
        <w:t xml:space="preserve">TEN 62 ANTE LAS ACTIVIDADES Conjuntas | Permite investigaciones conjuntas y trabajos de ejecución. Conocer el regulador, el camino de cooperación y los registros necesarios para asuntos transfronterizos. | Autoridad correspondencia, expediente de caso, historial de cooperación</w:t>
      </w:r>
      <w:r>
        <w:t xml:space="preserve"> </w:t>
      </w:r>
      <w:r>
        <w:t xml:space="preserve">TEN 63 | Mecanismo de coherencia ANTE Crea un proceso para la aplicación constante de GDPR en toda la UE. | Conozca al regulador, vía de cooperación y registros necesarios para asuntos transfronterizos. | Autoridad correspondencia, expediente de caso, historial de cooperación</w:t>
      </w:r>
      <w:r>
        <w:t xml:space="preserve"> </w:t>
      </w:r>
      <w:r>
        <w:t xml:space="preserve">| 64 | Opinión de la Junta Silenciosa Listas asuntos que requieren o permiten una opinión de EDPB. | Conocer el regulador, el camino de cooperación y los registros necesarios para asuntos transfronterizos. | Autoridad correspondencia, expediente de caso, historial de cooperación</w:t>
      </w:r>
      <w:r>
        <w:t xml:space="preserve"> </w:t>
      </w:r>
      <w:r>
        <w:t xml:space="preserve">TEN 65 | Solución de controversias por la Junta Permanente permite decisiones vinculantes de EDPB en determinadas controversias de autoridad. Conocer el regulador, el camino de cooperación y los registros necesarios para asuntos transfronterizos. | Autoridad correspondencia, expediente de caso, historial de cooperación</w:t>
      </w:r>
      <w:r>
        <w:t xml:space="preserve"> </w:t>
      </w:r>
      <w:r>
        <w:t xml:space="preserve">TEN 66 | Procedimiento de Urgencia ANTE Permite la adopción urgente de medidas provisionales o finales y la acción urgente de la EDPB. Conocer el regulador, el camino de cooperación y los registros necesarios para asuntos transfronterizos. | Autoridad correspondencia, expediente de caso, historial de cooperación</w:t>
      </w:r>
      <w:r>
        <w:t xml:space="preserve"> </w:t>
      </w:r>
      <w:r>
        <w:t xml:space="preserve">TEN 67 | Intercambio de información ANTE permite a la Comisión definir formatos y procedimientos para los intercambios de autoridad. Conocer el regulador, el camino de cooperación y los registros necesarios para asuntos transfronterizos. | Autoridad correspondencia, expediente de caso, historial de cooperación</w:t>
      </w:r>
      <w:r>
        <w:t xml:space="preserve"> </w:t>
      </w:r>
      <w:r>
        <w:t xml:space="preserve">| 68 | European Data Protection Board tención Establece el EDPB como un organismo de la UE con personalidad jurídica. Conocer el regulador, el camino de cooperación y los registros necesarios para asuntos transfronterizos. |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 Autoridad correspondencia, expediente de caso, historial de cooperación</w:t>
      </w:r>
      <w:r>
        <w:t xml:space="preserve"> </w:t>
      </w:r>
      <w:r>
        <w:t xml:space="preserve">TEN 70 | Tareas de la Junta | Listas de orientación, consistencia, disputa, acreditación y tareas de asesoramiento. | Conocer el regulador, el camino de cooperación y los registros necesarios para asuntos transfronterizos. | Autoridad correspondencia, expediente de caso, historial de cooperación</w:t>
      </w:r>
      <w:r>
        <w:t xml:space="preserve"> </w:t>
      </w:r>
      <w:r>
        <w:t xml:space="preserve">TEN 71 | Informes ANTERI Requiere un informe anual de EDPB sobre protección de datos personales. | Conocer el regulador, el camino de cooperación y los registros necesarios para asuntos transfronterizos. | Autoridad correspondencia, expediente de caso, historial de cooperación</w:t>
      </w:r>
      <w:r>
        <w:t xml:space="preserve"> </w:t>
      </w:r>
      <w:r>
        <w:t xml:space="preserve">TEN 72 | Procedimiento | Establecer reglas de votación EDPB. Conocer el regulador, el camino de cooperación y los registros necesarios para asuntos transfronterizos. | Autoridad correspondencia, expediente de caso, historial de cooperación</w:t>
      </w:r>
      <w:r>
        <w:t xml:space="preserve"> </w:t>
      </w:r>
      <w:r>
        <w:t xml:space="preserve">| 73 | Presidente | Requiere la elección de un presidente y dos subpresidentes. Conocer el regulador, el camino de cooperación y los registros necesarios para asuntos transfronterizos. | Autoridad correspondencia, expediente de caso, historial de cooperación</w:t>
      </w:r>
      <w:r>
        <w:t xml:space="preserve"> </w:t>
      </w:r>
      <w:r>
        <w:t xml:space="preserve">TEN 74 | Tareas de la Presidencia | Listas reunión, aviso y funciones de desempeño de la presidencia. | Conocer el regulador, el camino de cooperación y los registros necesarios para asuntos transfronterizos. | Autoridad correspondencia, expediente de caso, historial de cooperación</w:t>
      </w:r>
      <w:r>
        <w:t xml:space="preserve"> </w:t>
      </w:r>
      <w:r>
        <w:t xml:space="preserve">| 75 | Secretaría | Proporciona una secretaría suministrada por EDPS bajo la dirección de la silla. | Conocer el regulador, el camino de cooperación y los registros necesarios para asuntos transfronterizos. | Autoridad correspondencia, expediente de caso, historial de cooperación</w:t>
      </w:r>
      <w:r>
        <w:t xml:space="preserve"> </w:t>
      </w:r>
      <w:r>
        <w:t xml:space="preserve">| 76 | Confidencialidad | Establece reglas de confidencialidad para las discusiones de la Junta y acceso a documentos. | Conoce el regulador, ruta de cooperación y registros necesarios para asuntos transfronterizos. | Autoridad correspondencia, expediente de caso, historial de cooperación</w:t>
      </w:r>
    </w:p>
    <w:bookmarkEnd w:id="65"/>
    <w:bookmarkStart w:id="66" w:name="X65d605b93896499204db6592f48522efcd3e1fc"/>
    <w:p>
      <w:pPr>
        <w:pStyle w:val="Heading2"/>
      </w:pPr>
      <w:r>
        <w:t xml:space="preserve">9.8 Capítulo VIII - Remedios, responsabilidad y sanciones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77</w:t>
            </w:r>
          </w:p>
        </w:tc>
      </w:tr>
      <w:tr>
        <w:tc>
          <w:tcPr/>
          <w:p>
            <w:pPr>
              <w:pStyle w:val="Compact"/>
              <w:jc w:val="left"/>
            </w:pPr>
            <w:r>
              <w:t xml:space="preserve">tención 78 Silencioso recurso judicial contra una autoridad supervisora</w:t>
            </w:r>
          </w:p>
        </w:tc>
      </w:tr>
      <w:tr>
        <w:tc>
          <w:tcPr/>
          <w:p>
            <w:pPr>
              <w:pStyle w:val="Compact"/>
              <w:jc w:val="left"/>
            </w:pPr>
            <w:r>
              <w:t xml:space="preserve">tención 79 Silencioso recurso judicial contra un controlador o procesador</w:t>
            </w:r>
          </w:p>
        </w:tc>
      </w:tr>
      <w:tr>
        <w:tc>
          <w:tcPr/>
          <w:p>
            <w:pPr>
              <w:pStyle w:val="Compact"/>
              <w:jc w:val="left"/>
            </w:pPr>
            <w:r>
              <w:t xml:space="preserve">80</w:t>
            </w:r>
          </w:p>
        </w:tc>
      </w:tr>
      <w:tr>
        <w:tc>
          <w:tcPr/>
          <w:p>
            <w:pPr>
              <w:pStyle w:val="Compact"/>
              <w:jc w:val="left"/>
            </w:pPr>
            <w:r>
              <w:t xml:space="preserve">81 Silencioso de los procedimientos</w:t>
            </w:r>
          </w:p>
        </w:tc>
      </w:tr>
      <w:tr>
        <w:tc>
          <w:tcPr/>
          <w:p>
            <w:pPr>
              <w:pStyle w:val="Compact"/>
              <w:jc w:val="left"/>
            </w:pPr>
            <w:r>
              <w:t xml:space="preserve">TEN 82</w:t>
            </w:r>
          </w:p>
        </w:tc>
      </w:tr>
      <w:tr>
        <w:tc>
          <w:tcPr/>
          <w:p>
            <w:pPr>
              <w:pStyle w:val="Compact"/>
              <w:jc w:val="left"/>
            </w:pPr>
            <w:r>
              <w:t xml:space="preserve">TEN 83</w:t>
            </w:r>
          </w:p>
        </w:tc>
      </w:tr>
    </w:tbl>
    <w:p>
      <w:pPr>
        <w:pStyle w:val="BodyText"/>
      </w:pP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 85 | Libertad de expresión e información |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 86 | Acceso público a documentos oficiales |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 87 | Número de identificación nacional |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 88 | contexto de empleo |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 90 | Obligaciones del secreto |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 91 | Iglesias y asociaciones religiosas |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66"/>
    <w:bookmarkStart w:id="67" w:name="X41c4f42f87f07206edb7eee234bba1c93f9afd7"/>
    <w:p>
      <w:pPr>
        <w:pStyle w:val="Heading2"/>
      </w:pPr>
      <w:r>
        <w:t xml:space="preserve">9.10 Capítulo X - Actos delegados e implementados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92</w:t>
            </w:r>
          </w:p>
        </w:tc>
      </w:tr>
      <w:tr>
        <w:tc>
          <w:tcPr/>
          <w:p>
            <w:pPr>
              <w:pStyle w:val="Compact"/>
              <w:jc w:val="left"/>
            </w:pPr>
            <w:r>
              <w:t xml:space="preserve">tención 93 procedimiento del Comité Permanente</w:t>
            </w:r>
          </w:p>
        </w:tc>
      </w:tr>
    </w:tbl>
    <w:p>
      <w:pPr>
        <w:pStyle w:val="BodyText"/>
      </w:pPr>
      <w:r>
        <w:t xml:space="preserve">Capítulo XI - Disposiciones finales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94</w:t>
            </w:r>
          </w:p>
        </w:tc>
      </w:tr>
      <w:tr>
        <w:tc>
          <w:tcPr/>
          <w:p>
            <w:pPr>
              <w:pStyle w:val="Compact"/>
              <w:jc w:val="left"/>
            </w:pPr>
            <w:r>
              <w:t xml:space="preserve">95</w:t>
            </w:r>
          </w:p>
        </w:tc>
      </w:tr>
      <w:tr>
        <w:tc>
          <w:tcPr/>
          <w:p>
            <w:pPr>
              <w:pStyle w:val="Compact"/>
              <w:jc w:val="left"/>
            </w:pPr>
            <w:r>
              <w:t xml:space="preserve">96</w:t>
            </w:r>
          </w:p>
        </w:tc>
      </w:tr>
      <w:tr>
        <w:tc>
          <w:tcPr/>
          <w:p>
            <w:pPr>
              <w:pStyle w:val="Compact"/>
              <w:jc w:val="left"/>
            </w:pPr>
            <w:r>
              <w:t xml:space="preserve">Ø 97 tención La Comisión informa de la existencia de informes periódicos de evaluación, especialmente sobre transferencias y cooperación.</w:t>
            </w:r>
          </w:p>
        </w:tc>
      </w:tr>
      <w:tr>
        <w:tc>
          <w:tcPr/>
          <w:p>
            <w:pPr>
              <w:pStyle w:val="Compact"/>
              <w:jc w:val="left"/>
            </w:pPr>
            <w:r>
              <w:t xml:space="preserve">TEN 98</w:t>
            </w:r>
          </w:p>
        </w:tc>
      </w:tr>
      <w:tr>
        <w:tc>
          <w:tcPr/>
          <w:p>
            <w:pPr>
              <w:pStyle w:val="Compact"/>
              <w:jc w:val="left"/>
            </w:pPr>
            <w:r>
              <w:t xml:space="preserve">99</w:t>
            </w:r>
          </w:p>
        </w:tc>
      </w:tr>
    </w:tbl>
    <w:bookmarkEnd w:id="67"/>
    <w:bookmarkEnd w:id="68"/>
    <w:bookmarkStart w:id="72" w:name="manual-del-gdpr-para-gerentes"/>
    <w:p>
      <w:pPr>
        <w:pStyle w:val="Heading1"/>
      </w:pPr>
      <w:r>
        <w:t xml:space="preserve">10. Manual del GDPR para gerentes</w:t>
      </w:r>
    </w:p>
    <w:p>
      <w:pPr>
        <w:pStyle w:val="FirstParagraph"/>
      </w:pPr>
      <w:r>
        <w:rPr>
          <w:iCs/>
          <w:i/>
        </w:rPr>
        <w:t xml:space="preserve">Preguntas, reuniones, métricas, decisiones y señales de advertencia para la gestión</w:t>
      </w:r>
      <w:r>
        <w:t xml:space="preserve">.</w:t>
      </w:r>
    </w:p>
    <w:bookmarkStart w:id="69"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69"/>
    <w:bookmarkStart w:id="70" w:name="dashboard-mensual"/>
    <w:p>
      <w:pPr>
        <w:pStyle w:val="Heading2"/>
      </w:pPr>
      <w:r>
        <w:t xml:space="preserve">10.2 Dashboard mensual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bl>
    <w:p>
      <w:pPr>
        <w:pStyle w:val="BodyText"/>
      </w:pP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 ¿Los cambios de alto riesgo se analizan antes del lanzamiento? Verde / Amarillo / Rojo</w:t>
      </w:r>
      <w:r>
        <w:t xml:space="preserve"> </w:t>
      </w:r>
      <w:r>
        <w:t xml:space="preserve">¿Las decisiones son oportunas y apoyadas? Verde / Amarillo / Rojo</w:t>
      </w:r>
      <w:r>
        <w:t xml:space="preserve"> </w:t>
      </w:r>
      <w:r>
        <w:t xml:space="preserve">viv Vendors | ¿Hay contratos, subprocesadores y ubicaciones actuales? Verde / Amarillo / Rojo</w:t>
      </w:r>
      <w:r>
        <w:t xml:space="preserve"> </w:t>
      </w:r>
      <w:r>
        <w:t xml:space="preserve">← Transferencias |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70"/>
    <w:bookmarkStart w:id="71"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71"/>
    <w:bookmarkEnd w:id="72"/>
    <w:bookmarkStart w:id="113" w:name="from-beginner-to-junior-privacy-analyst"/>
    <w:p>
      <w:pPr>
        <w:pStyle w:val="Heading1"/>
      </w:pPr>
      <w:r>
        <w:t xml:space="preserve">11. From Beginner to Junior Privacy Analyst</w:t>
      </w:r>
    </w:p>
    <w:p>
      <w:pPr>
        <w:pStyle w:val="FirstParagraph"/>
      </w:pPr>
      <w:r>
        <w:rPr>
          <w:iCs/>
          <w:i/>
        </w:rPr>
        <w:t xml:space="preserve">Un camino seguro y honesto de aprender la ley a demostrar la capacidad de entrada</w:t>
      </w:r>
      <w:r>
        <w:t xml:space="preserve">.</w:t>
      </w:r>
    </w:p>
    <w:p>
      <w:pPr>
        <w:pStyle w:val="CaptionedFigure"/>
      </w:pPr>
      <w:r>
        <w:drawing>
          <wp:inline>
            <wp:extent cx="5334000" cy="2902901"/>
            <wp:effectExtent b="0" l="0" r="0" t="0"/>
            <wp:docPr descr="El aprendizaje, la práctica, el portafolio, la explicación y la postulación forman una trayectoria profesional." title="" id="74" name="Picture"/>
            <a:graphic>
              <a:graphicData uri="http://schemas.openxmlformats.org/drawingml/2006/picture">
                <pic:pic>
                  <pic:nvPicPr>
                    <pic:cNvPr descr="media/image5.png" id="75" name="Picture"/>
                    <pic:cNvPicPr>
                      <a:picLocks noChangeArrowheads="1" noChangeAspect="1"/>
                    </pic:cNvPicPr>
                  </pic:nvPicPr>
                  <pic:blipFill>
                    <a:blip r:embed="rId7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aprendizaje, la práctica, el portafolio, la explicación y la postulación forman una trayectoria profesional.</w:t>
      </w:r>
    </w:p>
    <w:p>
      <w:pPr>
        <w:pStyle w:val="BodyText"/>
      </w:pPr>
      <w:r>
        <w:t xml:space="preserve">Figura 5. Vía de análisis de privacidad junior</w:t>
      </w:r>
    </w:p>
    <w:bookmarkStart w:id="76" w:name="títulos-de-trabajo"/>
    <w:p>
      <w:pPr>
        <w:pStyle w:val="Heading2"/>
      </w:pPr>
      <w:r>
        <w:t xml:space="preserve">11.1 Títulos de trabajo</w:t>
      </w:r>
    </w:p>
    <w:p>
      <w:pPr>
        <w:pStyle w:val="FirstParagraph"/>
      </w:pPr>
      <w:r>
        <w:rPr>
          <w:bCs/>
          <w:b/>
        </w:rPr>
        <w:t xml:space="preserve">Análisis de privacidad de los jóvenes</w:t>
      </w:r>
    </w:p>
    <w:p>
      <w:pPr>
        <w:numPr>
          <w:ilvl w:val="0"/>
          <w:numId w:val="1012"/>
        </w:numPr>
        <w:pStyle w:val="Compact"/>
      </w:pPr>
      <w:r>
        <w:t xml:space="preserve">Analista de Protección de Datos*</w:t>
      </w:r>
    </w:p>
    <w:p>
      <w:pPr>
        <w:pStyle w:val="FirstParagraph"/>
      </w:pPr>
      <w:r>
        <w:rPr>
          <w:iCs/>
          <w:i/>
        </w:rPr>
        <w:t xml:space="preserve">Análisis de Operaciones de Privación</w:t>
      </w:r>
    </w:p>
    <w:p>
      <w:pPr>
        <w:pStyle w:val="BodyText"/>
      </w:pPr>
      <w:r>
        <w:rPr>
          <w:bCs/>
          <w:b/>
        </w:rPr>
        <w:t xml:space="preserve">GRC Analyst — Privacy</w:t>
      </w:r>
    </w:p>
    <w:p>
      <w:pPr>
        <w:pStyle w:val="BodyText"/>
      </w:pPr>
      <w:r>
        <w:rPr>
          <w:iCs/>
          <w:i/>
        </w:rPr>
        <w:t xml:space="preserve">Data Governance Analyst</w:t>
      </w:r>
    </w:p>
    <w:p>
      <w:pPr>
        <w:pStyle w:val="BodyText"/>
      </w:pPr>
      <w:r>
        <w:rPr>
          <w:bCs/>
          <w:b/>
        </w:rPr>
        <w:t xml:space="preserve">Third-Party Privacy Analyst</w:t>
      </w:r>
    </w:p>
    <w:p>
      <w:pPr>
        <w:pStyle w:val="BodyText"/>
      </w:pPr>
      <w:r>
        <w:t xml:space="preserve">** Analista de Privacía y Seguridad**</w:t>
      </w:r>
    </w:p>
    <w:p>
      <w:pPr>
        <w:pStyle w:val="BodyText"/>
      </w:pPr>
      <w:r>
        <w:rPr>
          <w:bCs/>
          <w:b/>
        </w:rPr>
        <w:t xml:space="preserve">Privacy Program Coordinator</w:t>
      </w:r>
    </w:p>
    <w:bookmarkEnd w:id="76"/>
    <w:bookmarkStart w:id="77"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77"/>
    <w:bookmarkStart w:id="78"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 |</w:t>
      </w:r>
      <w:r>
        <w:t xml:space="preserve"> </w:t>
      </w:r>
      <w:r>
        <w:t xml:space="preserve">tención cartografía de datos ← HAP y diagrama de ciclo de vida</w:t>
      </w:r>
      <w:r>
        <w:t xml:space="preserve"> </w:t>
      </w:r>
      <w:r>
        <w:t xml:space="preserve">tención Legal razonando | FORMULARIO-basis legal y ejemplos de interés legítimo con suposiciones |</w:t>
      </w:r>
      <w:r>
        <w:t xml:space="preserve"> </w:t>
      </w:r>
      <w:r>
        <w:t xml:space="preserve">← Operaciones de derechos | Solicitud de registro, decisión de identidad, lista de verificación de búsqueda, respuesta ante el proyecto</w:t>
      </w:r>
      <w:r>
        <w:t xml:space="preserve"> </w:t>
      </w:r>
      <w:r>
        <w:t xml:space="preserve">tención de riesgo | DPIA pantalla y DPIA ficticio completo</w:t>
      </w:r>
      <w:r>
        <w:t xml:space="preserve"> </w:t>
      </w:r>
      <w:r>
        <w:t xml:space="preserve">Ø Incidentes ← Breach ficha informativa, evaluación del riesgo, decisión de notificación</w:t>
      </w:r>
      <w:r>
        <w:t xml:space="preserve"> </w:t>
      </w:r>
      <w:r>
        <w:t xml:space="preserve">| Comunicación | Resumen del administrador de una página y explicación de entrevista</w:t>
      </w:r>
    </w:p>
    <w:p>
      <w:pPr>
        <w:pStyle w:val="BodyText"/>
      </w:pPr>
      <w:r>
        <w:rPr>
          <w:bCs/>
          <w:b/>
        </w:rPr>
        <w:t xml:space="preserve">Honestidad profesional:</w:t>
      </w:r>
      <w:r>
        <w:t xml:space="preserve"> </w:t>
      </w:r>
      <w:r>
        <w:t xml:space="preserve">Un portafolio de laboratorio no equivale a experiencia laboral profesional. Identifíquelo claramente como práctica, utilice datos ficticios y explique qué aprendió y qué requirió revisión de especialistas. |</w:t>
      </w:r>
    </w:p>
    <w:p>
      <w:pPr>
        <w:pStyle w:val="BodyText"/>
      </w:pPr>
      <w:r>
        <w:t xml:space="preserve">Respuesta</w:t>
      </w:r>
    </w:p>
    <w:p>
      <w:pPr>
        <w:pStyle w:val="BodyText"/>
      </w:pPr>
      <w:r>
        <w:t xml:space="preserve">Herramientas de código abierto para el trabajo GDPR</w:t>
      </w:r>
    </w:p>
    <w:p>
      <w:pPr>
        <w:pStyle w:val="BodyText"/>
      </w:pPr>
      <w:r>
        <w:rPr>
          <w:iCs/>
          <w:i/>
        </w:rPr>
        <w:t xml:space="preserve">Lo que cada herramienta puede soportar, cómo comenzar con seguridad, y qué evidencia conservar.</w:t>
      </w:r>
    </w:p>
    <w:p>
      <w:pPr>
        <w:pStyle w:val="BodyText"/>
      </w:pPr>
      <w:r>
        <w:t xml:space="preserve">tención</w:t>
      </w:r>
      <w:r>
        <w:t xml:space="preserve"> </w:t>
      </w:r>
      <w:r>
        <w:rPr>
          <w:bCs/>
          <w:b/>
        </w:rPr>
        <w:t xml:space="preserve">Metodología primero:</w:t>
      </w:r>
      <w:r>
        <w:t xml:space="preserve"> </w:t>
      </w:r>
      <w:r>
        <w:t xml:space="preserve">Una herramienta puede apoyar el descubrimiento, acceso, seguridad, anonimato o evidencia. No puede determinar el cumplimiento legal por sí mismo.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bl>
    <w:p>
      <w:pPr>
        <w:pStyle w:val="BodyText"/>
      </w:pPr>
      <w:r>
        <w:t xml:space="preserve">TEN CISO Assistant TEN GRC y registros de control TENIS Accountability, security, minimization, rights, or privacy-by-design evidence</w:t>
      </w:r>
      <w:r>
        <w:t xml:space="preserve"> </w:t>
      </w:r>
      <w:r>
        <w:t xml:space="preserve">| OpenMetadata | Catálogo de datos y linaje | Responsabilidad, seguridad, minimización, derechos o evidencia de privacidad por diseño</w:t>
      </w:r>
      <w:r>
        <w:t xml:space="preserve"> </w:t>
      </w:r>
      <w:r>
        <w:t xml:space="preserve">TEN Microsoft Presidio | PII Detección y Deidentificación Ø Responsabilidad, seguridad, minimización, derechos, o evidencia de privacidad por diseño</w:t>
      </w:r>
      <w:r>
        <w:t xml:space="preserve"> </w:t>
      </w:r>
      <w:r>
        <w:t xml:space="preserve">TEN ARX |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 OWASP ZAP | Pruebas web autorizadas ← Rendición de cuentas, seguridad, minimización, derechos o evidencia de privacidad por diseño</w:t>
      </w:r>
      <w:r>
        <w:t xml:space="preserve"> </w:t>
      </w:r>
      <w:r>
        <w:t xml:space="preserve">tención Trivy |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 Apoyo de interfaz consentimiento TEN Responsabilidad, seguridad, minimización, derechos o evidencia de privacidad por diseño |</w:t>
      </w:r>
      <w:r>
        <w:t xml:space="preserve"> </w:t>
      </w:r>
      <w:r>
        <w:t xml:space="preserve">TEN Greenbone Community Edition TEN Vulnerability scan TEN Accountability, security, minimization, rights, or privacy-by-design evidence ←</w:t>
      </w:r>
    </w:p>
    <w:bookmarkEnd w:id="78"/>
    <w:bookmarkStart w:id="80" w:name="ciso-assistant"/>
    <w:p>
      <w:pPr>
        <w:pStyle w:val="Heading2"/>
      </w:pPr>
      <w:r>
        <w:t xml:space="preserve">12.1 CISO Assistant</w:t>
      </w:r>
    </w:p>
    <w:p>
      <w:pPr>
        <w:pStyle w:val="FirstParagraph"/>
      </w:pPr>
      <w:r>
        <w:t xml:space="preserve">GRC y registros de control.</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79" w:name="inicio-rápido"/>
    <w:p>
      <w:pPr>
        <w:pStyle w:val="Heading3"/>
      </w:pPr>
      <w:r>
        <w:t xml:space="preserve">Inicio rápido</w:t>
      </w:r>
    </w:p>
    <w:p>
      <w:pPr>
        <w:pStyle w:val="FirstParagraph"/>
      </w:pPr>
      <w:r>
        <w:t xml:space="preserve">Crear una organización ficticia, mapear un requisito GDPR para un control, asignar un propietario, y adjuntar evidencia sanitaria.</w:t>
      </w:r>
    </w:p>
    <w:bookmarkEnd w:id="79"/>
    <w:bookmarkEnd w:id="80"/>
    <w:bookmarkStart w:id="81"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1"/>
    <w:bookmarkStart w:id="83" w:name="openmetadata"/>
    <w:p>
      <w:pPr>
        <w:pStyle w:val="Heading2"/>
      </w:pPr>
      <w:r>
        <w:t xml:space="preserve">12.2 OpenMetadata</w:t>
      </w:r>
    </w:p>
    <w:p>
      <w:pPr>
        <w:pStyle w:val="FirstParagraph"/>
      </w:pPr>
      <w:r>
        <w:t xml:space="preserve">Catálogo de datos y linaje.</w:t>
      </w:r>
    </w:p>
    <w:p>
      <w:pPr>
        <w:pStyle w:val="BodyText"/>
      </w:pPr>
      <w:r>
        <w:rPr>
          <w:bCs/>
          <w:b/>
        </w:rPr>
        <w:t xml:space="preserve">Documentación y configuración oficiales:</w:t>
      </w:r>
      <w:r>
        <w:t xml:space="preserve"> </w:t>
      </w:r>
      <w:r>
        <w:t xml:space="preserve">[Seguridad]Abre la guía oficial OpenMetadata realizada/u contacto](https://docs.open-metadata.org/)</w:t>
      </w:r>
    </w:p>
    <w:bookmarkStart w:id="82" w:name="inicio-rápido-1"/>
    <w:p>
      <w:pPr>
        <w:pStyle w:val="Heading3"/>
      </w:pPr>
      <w:r>
        <w:t xml:space="preserve">Inicio rápido</w:t>
      </w:r>
    </w:p>
    <w:p>
      <w:pPr>
        <w:pStyle w:val="FirstParagraph"/>
      </w:pPr>
      <w:r>
        <w:t xml:space="preserve">Implementar un catálogo de laboratorio, registrar un activo de datos de muestra, añadir un propietario, clasificación, nota de propósito y etiqueta de retención.</w:t>
      </w:r>
    </w:p>
    <w:bookmarkEnd w:id="82"/>
    <w:bookmarkEnd w:id="83"/>
    <w:bookmarkStart w:id="84"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4"/>
    <w:bookmarkStart w:id="86" w:name="microsoft-presidio"/>
    <w:p>
      <w:pPr>
        <w:pStyle w:val="Heading2"/>
      </w:pPr>
      <w:r>
        <w:t xml:space="preserve">12.3 Microsoft Presidio</w:t>
      </w:r>
    </w:p>
    <w:p>
      <w:pPr>
        <w:pStyle w:val="FirstParagraph"/>
      </w:pPr>
      <w:r>
        <w:t xml:space="preserve">Detección y desidentificación de PII.</w:t>
      </w:r>
    </w:p>
    <w:p>
      <w:pPr>
        <w:pStyle w:val="BodyText"/>
      </w:pPr>
      <w:r>
        <w:rPr>
          <w:bCs/>
          <w:b/>
        </w:rPr>
        <w:t xml:space="preserve">Documentación y configuración oficiales:</w:t>
      </w:r>
      <w:r>
        <w:t xml:space="preserve"> </w:t>
      </w:r>
      <w:r>
        <w:t xml:space="preserve">[Seguridad]Abre la guía oficial de Microsoft Presidio realizada/u contacto](https://microsoft.github.io/presidio/)</w:t>
      </w:r>
    </w:p>
    <w:bookmarkStart w:id="85" w:name="inicio-rápido-2"/>
    <w:p>
      <w:pPr>
        <w:pStyle w:val="Heading3"/>
      </w:pPr>
      <w:r>
        <w:t xml:space="preserve">Inicio rápido</w:t>
      </w:r>
    </w:p>
    <w:p>
      <w:pPr>
        <w:pStyle w:val="FirstParagraph"/>
      </w:pPr>
      <w:r>
        <w:t xml:space="preserve">Ejecutar texto de muestra que contiene identificadores inventados, detecciones de revisión, aplicar enmascaramiento y registrar falsos positivos y faltas.</w:t>
      </w:r>
    </w:p>
    <w:bookmarkEnd w:id="85"/>
    <w:bookmarkEnd w:id="86"/>
    <w:bookmarkStart w:id="87"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7"/>
    <w:bookmarkStart w:id="89" w:name="arx"/>
    <w:p>
      <w:pPr>
        <w:pStyle w:val="Heading2"/>
      </w:pPr>
      <w:r>
        <w:t xml:space="preserve">12.4 ARX</w:t>
      </w:r>
    </w:p>
    <w:p>
      <w:pPr>
        <w:pStyle w:val="FirstParagraph"/>
      </w:pPr>
      <w:r>
        <w:t xml:space="preserve">Anonimato de datos y análisis de riesgos.</w:t>
      </w:r>
    </w:p>
    <w:p>
      <w:pPr>
        <w:pStyle w:val="BodyText"/>
      </w:pPr>
      <w:r>
        <w:rPr>
          <w:bCs/>
          <w:b/>
        </w:rPr>
        <w:t xml:space="preserve">Documentación y configuración oficiales</w:t>
      </w:r>
      <w:r>
        <w:t xml:space="preserve"> </w:t>
      </w:r>
      <w:r>
        <w:t xml:space="preserve">Abra la guía oficial ARX efectuada/u fiel](https://arx.deidentifier.org/anonymization-tool/)</w:t>
      </w:r>
    </w:p>
    <w:bookmarkStart w:id="88" w:name="inicio-rápido-3"/>
    <w:p>
      <w:pPr>
        <w:pStyle w:val="Heading3"/>
      </w:pPr>
      <w:r>
        <w:t xml:space="preserve">Inicio rápido</w:t>
      </w:r>
    </w:p>
    <w:p>
      <w:pPr>
        <w:pStyle w:val="FirstParagraph"/>
      </w:pPr>
      <w:r>
        <w:t xml:space="preserve">Cargue un conjunto de datos sintético, identificadores de marca y cuantificadores, aplique un modelo de privacidad y compare la utilidad y el riesgo.</w:t>
      </w:r>
    </w:p>
    <w:bookmarkEnd w:id="88"/>
    <w:bookmarkEnd w:id="89"/>
    <w:bookmarkStart w:id="90"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0"/>
    <w:bookmarkStart w:id="92" w:name="keycloak"/>
    <w:p>
      <w:pPr>
        <w:pStyle w:val="Heading2"/>
      </w:pPr>
      <w:r>
        <w:t xml:space="preserve">12.5 Keycloak</w:t>
      </w:r>
    </w:p>
    <w:p>
      <w:pPr>
        <w:pStyle w:val="FirstParagraph"/>
      </w:pPr>
      <w:r>
        <w:t xml:space="preserve">Gestión de identidad y acceso.</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91" w:name="inicio-rápido-4"/>
    <w:p>
      <w:pPr>
        <w:pStyle w:val="Heading3"/>
      </w:pPr>
      <w:r>
        <w:t xml:space="preserve">Inicio rápido</w:t>
      </w:r>
    </w:p>
    <w:p>
      <w:pPr>
        <w:pStyle w:val="FirstParagraph"/>
      </w:pPr>
      <w:r>
        <w:t xml:space="preserve">Crear un reino de laboratorio, usuarios, roles y MFA; probar menos privilegio y exportar la configuración y revisar evidencia.</w:t>
      </w:r>
    </w:p>
    <w:bookmarkEnd w:id="91"/>
    <w:bookmarkEnd w:id="92"/>
    <w:bookmarkStart w:id="93"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3"/>
    <w:bookmarkStart w:id="95" w:name="wazuh"/>
    <w:p>
      <w:pPr>
        <w:pStyle w:val="Heading2"/>
      </w:pPr>
      <w:r>
        <w:t xml:space="preserve">12.6 Wazuh</w:t>
      </w:r>
    </w:p>
    <w:p>
      <w:pPr>
        <w:pStyle w:val="FirstParagraph"/>
      </w:pPr>
      <w:r>
        <w:t xml:space="preserve">Vigilancia de la seguridad.</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94" w:name="inicio-rápido-5"/>
    <w:p>
      <w:pPr>
        <w:pStyle w:val="Heading3"/>
      </w:pPr>
      <w:r>
        <w:t xml:space="preserve">Inicio rápido</w:t>
      </w:r>
    </w:p>
    <w:p>
      <w:pPr>
        <w:pStyle w:val="FirstParagraph"/>
      </w:pPr>
      <w:r>
        <w:t xml:space="preserve">Conecta un endpoint de laboratorio, crea un evento inofensivo, revisa la alerta y salva el evento, la decisión analista y el seguimiento.</w:t>
      </w:r>
    </w:p>
    <w:bookmarkEnd w:id="94"/>
    <w:bookmarkEnd w:id="95"/>
    <w:bookmarkStart w:id="96"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6"/>
    <w:bookmarkStart w:id="98" w:name="owasp-zap"/>
    <w:p>
      <w:pPr>
        <w:pStyle w:val="Heading2"/>
      </w:pPr>
      <w:r>
        <w:t xml:space="preserve">12.7 OWASP ZAP</w:t>
      </w:r>
    </w:p>
    <w:p>
      <w:pPr>
        <w:pStyle w:val="FirstParagraph"/>
      </w:pPr>
      <w:r>
        <w:t xml:space="preserve">Pruebas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97" w:name="inicio-rápido-6"/>
    <w:p>
      <w:pPr>
        <w:pStyle w:val="Heading3"/>
      </w:pPr>
      <w:r>
        <w:t xml:space="preserve">Inicio rápido</w:t>
      </w:r>
    </w:p>
    <w:p>
      <w:pPr>
        <w:pStyle w:val="FirstParagraph"/>
      </w:pPr>
      <w:r>
        <w:t xml:space="preserve">Proxy a local training application, start with passive findings, validate one result, and export the approved scope and report.</w:t>
      </w:r>
    </w:p>
    <w:bookmarkEnd w:id="97"/>
    <w:bookmarkEnd w:id="98"/>
    <w:bookmarkStart w:id="99"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9"/>
    <w:bookmarkStart w:id="101" w:name="trivy"/>
    <w:p>
      <w:pPr>
        <w:pStyle w:val="Heading2"/>
      </w:pPr>
      <w:r>
        <w:t xml:space="preserve">12.8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00" w:name="inicio-rápido-7"/>
    <w:p>
      <w:pPr>
        <w:pStyle w:val="Heading3"/>
      </w:pPr>
      <w:r>
        <w:t xml:space="preserve">Inicio rápido</w:t>
      </w:r>
    </w:p>
    <w:p>
      <w:pPr>
        <w:pStyle w:val="FirstParagraph"/>
      </w:pPr>
      <w:r>
        <w:t xml:space="preserve">Escanear una imagen o repositorio de laboratorio, proteger informes, validar un hallazgo, arreglarlo y volver a escanear.</w:t>
      </w:r>
    </w:p>
    <w:bookmarkEnd w:id="100"/>
    <w:bookmarkEnd w:id="101"/>
    <w:bookmarkStart w:id="102"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2"/>
    <w:bookmarkStart w:id="104" w:name="agente-de-política-abierta"/>
    <w:p>
      <w:pPr>
        <w:pStyle w:val="Heading2"/>
      </w:pPr>
      <w:r>
        <w:t xml:space="preserve">12.9 Agente de política abierta</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03" w:name="inicio-rápido-8"/>
    <w:p>
      <w:pPr>
        <w:pStyle w:val="Heading3"/>
      </w:pPr>
      <w:r>
        <w:t xml:space="preserve">Inicio rápido</w:t>
      </w:r>
    </w:p>
    <w:p>
      <w:pPr>
        <w:pStyle w:val="FirstParagraph"/>
      </w:pPr>
      <w:r>
        <w:t xml:space="preserve">Escribir una regla de laboratorio que niega un recurso de datos sin un propietario o etiqueta de retención; probar los insumos permitidos y negados.</w:t>
      </w:r>
    </w:p>
    <w:bookmarkEnd w:id="103"/>
    <w:bookmarkEnd w:id="104"/>
    <w:bookmarkStart w:id="105"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5"/>
    <w:bookmarkStart w:id="107" w:name="klaro"/>
    <w:p>
      <w:pPr>
        <w:pStyle w:val="Heading2"/>
      </w:pPr>
      <w:r>
        <w:t xml:space="preserve">12.10 Klaro!</w:t>
      </w:r>
    </w:p>
    <w:p>
      <w:pPr>
        <w:pStyle w:val="FirstParagraph"/>
      </w:pPr>
      <w:r>
        <w:t xml:space="preserve">Soporte de interfaz de consentimiento.</w:t>
      </w:r>
    </w:p>
    <w:p>
      <w:pPr>
        <w:pStyle w:val="BodyText"/>
      </w:pPr>
      <w:r>
        <w:rPr>
          <w:bCs/>
          <w:b/>
        </w:rPr>
        <w:t xml:space="preserve">Documentación y configuración oficiales</w:t>
      </w:r>
      <w:r>
        <w:t xml:space="preserve"> </w:t>
      </w:r>
      <w:r>
        <w:t xml:space="preserve">Abrir la guía oficial Klaro!</w:t>
      </w:r>
    </w:p>
    <w:bookmarkStart w:id="106" w:name="inicio-rápido-9"/>
    <w:p>
      <w:pPr>
        <w:pStyle w:val="Heading3"/>
      </w:pPr>
      <w:r>
        <w:t xml:space="preserve">Inicio rápido</w:t>
      </w:r>
    </w:p>
    <w:p>
      <w:pPr>
        <w:pStyle w:val="FirstParagraph"/>
      </w:pPr>
      <w:r>
        <w:t xml:space="preserve">Configurar una página de laboratorio para que los servicios opcionales permanezcan fuera hasta que la elección; probar aceptar, rechazar, cambiar y retirar caminos.</w:t>
      </w:r>
    </w:p>
    <w:bookmarkEnd w:id="106"/>
    <w:bookmarkEnd w:id="107"/>
    <w:bookmarkStart w:id="108"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8"/>
    <w:bookmarkStart w:id="110" w:name="greenbone-community-edition"/>
    <w:p>
      <w:pPr>
        <w:pStyle w:val="Heading2"/>
      </w:pPr>
      <w:r>
        <w:t xml:space="preserve">12.11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09" w:name="inicio-rápido-10"/>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09"/>
    <w:bookmarkEnd w:id="110"/>
    <w:bookmarkStart w:id="111"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11"/>
    <w:bookmarkStart w:id="112"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112"/>
    <w:bookmarkEnd w:id="113"/>
    <w:bookmarkStart w:id="118" w:name="Xc1ec02c0f8768940d94445795a69303e65bfa9e"/>
    <w:p>
      <w:pPr>
        <w:pStyle w:val="Heading1"/>
      </w:pPr>
      <w:r>
        <w:t xml:space="preserve">13. Laboratorio de SaaS Ficcional y Portfolio</w:t>
      </w:r>
    </w:p>
    <w:p>
      <w:pPr>
        <w:pStyle w:val="FirstParagraph"/>
      </w:pPr>
      <w:r>
        <w:rPr>
          <w:iCs/>
          <w:i/>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114"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114"/>
    <w:bookmarkStart w:id="115"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115"/>
    <w:bookmarkStart w:id="116"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116"/>
    <w:bookmarkStart w:id="117"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117"/>
    <w:bookmarkEnd w:id="118"/>
    <w:bookmarkStart w:id="130" w:name="plan-de-aprendizaje-de-30-días"/>
    <w:p>
      <w:pPr>
        <w:pStyle w:val="Heading1"/>
      </w:pPr>
      <w:r>
        <w:t xml:space="preserve">14. Plan de aprendizaje de 30 días</w:t>
      </w:r>
    </w:p>
    <w:p>
      <w:pPr>
        <w:pStyle w:val="FirstParagraph"/>
      </w:pPr>
      <w:r>
        <w:rPr>
          <w:iCs/>
          <w:i/>
        </w:rPr>
        <w:t xml:space="preserve">Un mes realista de estudio, práctica, trabajo de portafolio y preparación para entrevistas.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tención Semana 1</w:t>
            </w:r>
          </w:p>
        </w:tc>
      </w:tr>
    </w:tbl>
    <w:p>
      <w:pPr>
        <w:pStyle w:val="BodyText"/>
      </w:pP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 Herramientas, portafolio, entrevista, aplicación | Portafolio y respuestas practicadas</w:t>
      </w:r>
    </w:p>
    <w:bookmarkStart w:id="119"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al portafolio.</w:t>
      </w:r>
    </w:p>
    <w:p>
      <w:pPr>
        <w:numPr>
          <w:ilvl w:val="0"/>
          <w:numId w:val="1016"/>
        </w:numPr>
      </w:pPr>
      <w:r>
        <w:t xml:space="preserve">Preparación de entrevistas</w:t>
      </w:r>
    </w:p>
    <w:p>
      <w:pPr>
        <w:pStyle w:val="FirstParagraph"/>
      </w:pPr>
      <w:r>
        <w:rPr>
          <w:iCs/>
          <w:i/>
        </w:rPr>
        <w:t xml:space="preserve">Preguntas y respuestas cortas para analistas y administradores junior</w:t>
      </w:r>
      <w:r>
        <w:t xml:space="preserve">.</w:t>
      </w:r>
    </w:p>
    <w:bookmarkEnd w:id="119"/>
    <w:bookmarkStart w:id="120"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120"/>
    <w:bookmarkStart w:id="121"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121"/>
    <w:bookmarkStart w:id="122"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122"/>
    <w:bookmarkStart w:id="123"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123"/>
    <w:bookmarkStart w:id="124"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124"/>
    <w:bookmarkStart w:id="125"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125"/>
    <w:bookmarkStart w:id="126"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26"/>
    <w:bookmarkStart w:id="127"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27"/>
    <w:bookmarkStart w:id="128"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28"/>
    <w:bookmarkStart w:id="129" w:name="X7b79c52f5596d92db90439bb8138b84f290985c"/>
    <w:p>
      <w:pPr>
        <w:pStyle w:val="Heading2"/>
      </w:pPr>
      <w:r>
        <w:t xml:space="preserve">15.1 Respuesta del administrador de 60 segundos</w:t>
      </w:r>
    </w:p>
    <w:p>
      <w:pPr>
        <w:pStyle w:val="FirstParagraph"/>
      </w:pPr>
      <w:r>
        <w:rPr>
          <w:bCs/>
          <w:b/>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w:t>
      </w:r>
    </w:p>
    <w:p>
      <w:pPr>
        <w:pStyle w:val="BodyText"/>
      </w:pPr>
      <w:r>
        <w:t xml:space="preserve">RespuestaRespuesta</w:t>
      </w:r>
    </w:p>
    <w:bookmarkEnd w:id="129"/>
    <w:bookmarkEnd w:id="130"/>
    <w:bookmarkStart w:id="136" w:name="plantillas-y-listas-de-verificación"/>
    <w:p>
      <w:pPr>
        <w:pStyle w:val="Heading1"/>
      </w:pPr>
      <w:r>
        <w:t xml:space="preserve">16. Plantillas y listas de verificación</w:t>
      </w:r>
    </w:p>
    <w:p>
      <w:pPr>
        <w:numPr>
          <w:ilvl w:val="0"/>
          <w:numId w:val="1017"/>
        </w:numPr>
        <w:pStyle w:val="Compact"/>
      </w:pPr>
      <w:r>
        <w:t xml:space="preserve">Estructuras prácticas para copiar en un sistema de organización aprobado*.</w:t>
      </w:r>
    </w:p>
    <w:bookmarkStart w:id="131"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31"/>
    <w:bookmarkStart w:id="132"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32"/>
    <w:bookmarkStart w:id="133"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33"/>
    <w:bookmarkStart w:id="134" w:name="breach-fact-sheet"/>
    <w:p>
      <w:pPr>
        <w:pStyle w:val="Heading2"/>
      </w:pPr>
      <w:r>
        <w:t xml:space="preserve">16.4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Silencioso Cuando el controlador se puso al tanto y por qué</w:t>
      </w:r>
      <w:r>
        <w:t xml:space="preserve"> </w:t>
      </w:r>
      <w:r>
        <w:t xml:space="preserve">| Lo que sucedió y la contención actual |</w:t>
      </w:r>
      <w:r>
        <w:t xml:space="preserve"> </w:t>
      </w:r>
      <w:r>
        <w:t xml:space="preserve">| Datos y personas |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 permanente Autoridad y decisiones de notificación de la persona |</w:t>
      </w:r>
      <w:r>
        <w:t xml:space="preserve"> </w:t>
      </w:r>
      <w:r>
        <w:t xml:space="preserve">tención, recuperación, protección, corrección, lecciones</w:t>
      </w:r>
      <w:r>
        <w:t xml:space="preserve"> </w:t>
      </w:r>
      <w:r>
        <w:t xml:space="preserve">← Aprobación Silencioso Propietario de la decisión, entrada legal/DPO, fechas</w:t>
      </w:r>
    </w:p>
    <w:bookmarkEnd w:id="134"/>
    <w:bookmarkStart w:id="135" w:name="X75a1f8072c461e02d4c410863f465f45aa00365"/>
    <w:p>
      <w:pPr>
        <w:pStyle w:val="Heading2"/>
      </w:pPr>
      <w:r>
        <w:t xml:space="preserve">16.5 Lista de verificación previa al lanzamiento para gerentes</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35"/>
    <w:bookmarkEnd w:id="136"/>
    <w:bookmarkStart w:id="138" w:name="gdpr-ai-y-analytics"/>
    <w:p>
      <w:pPr>
        <w:pStyle w:val="Heading1"/>
      </w:pPr>
      <w:r>
        <w:t xml:space="preserve">17. GDPR, AI y Analytics</w:t>
      </w:r>
    </w:p>
    <w:p>
      <w:pPr>
        <w:pStyle w:val="FirstParagraph"/>
      </w:pPr>
      <w:r>
        <w:rPr>
          <w:iCs/>
          <w:i/>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37"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rPr>
          <w:bCs/>
          <w:b/>
        </w:rPr>
        <w:t xml:space="preserve">No asuma:</w:t>
      </w:r>
      <w:r>
        <w:t xml:space="preserve"> </w:t>
      </w:r>
      <w:r>
        <w:t xml:space="preserve">La eliminación de nombres directos puede no hacer que los datos sean anónimos. Los datos pseudónimos siguen siendo datos personales cuando pueden vincularse con información adicional. |</w:t>
      </w:r>
    </w:p>
    <w:p>
      <w:pPr>
        <w:pStyle w:val="BodyText"/>
      </w:pPr>
      <w:r>
        <w:t xml:space="preserve">|. |</w:t>
      </w:r>
    </w:p>
    <w:bookmarkEnd w:id="137"/>
    <w:bookmarkEnd w:id="138"/>
    <w:bookmarkStart w:id="139" w:name="glosario"/>
    <w:p>
      <w:pPr>
        <w:pStyle w:val="Heading1"/>
      </w:pPr>
      <w:r>
        <w:t xml:space="preserve">18. Glosario</w:t>
      </w:r>
    </w:p>
    <w:p>
      <w:pPr>
        <w:pStyle w:val="FirstParagraph"/>
      </w:pPr>
      <w:r>
        <w:rPr>
          <w:iCs/>
          <w:i/>
        </w:rPr>
        <w:t xml:space="preserve">Definiciones en inglés de GDPR importantes y términos de privacidad.</w:t>
      </w:r>
    </w:p>
    <w:p>
      <w:pPr>
        <w:pStyle w:val="BodyText"/>
      </w:pPr>
      <w:r>
        <w:rPr>
          <w:bCs/>
          <w:b/>
        </w:rPr>
        <w:t xml:space="preserve">Cuentabilidad.</w:t>
      </w:r>
      <w:r>
        <w:t xml:space="preserve"> </w:t>
      </w:r>
      <w:r>
        <w:t xml:space="preserve">El deber de cumplir y ser capaz de demostrar el cumplimiento.</w:t>
      </w:r>
    </w:p>
    <w:p>
      <w:pPr>
        <w:pStyle w:val="BodyText"/>
      </w:pPr>
      <w:r>
        <w:rPr>
          <w:iCs/>
          <w:i/>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Cs/>
          <w:b/>
        </w:rPr>
        <w:t xml:space="preserve">Binding corporate rules.</w:t>
      </w:r>
      <w:r>
        <w:t xml:space="preserve"> </w:t>
      </w:r>
      <w:r>
        <w:t xml:space="preserve">Reglas de transferencia interna aprobadas para grupos de empresas.</w:t>
      </w:r>
    </w:p>
    <w:p>
      <w:pPr>
        <w:pStyle w:val="BodyText"/>
      </w:pPr>
      <w:r>
        <w:rPr>
          <w:bCs/>
          <w:b/>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Cs/>
          <w:b/>
        </w:rPr>
        <w:t xml:space="preserve">EDPB.</w:t>
      </w:r>
      <w:r>
        <w:t xml:space="preserve"> </w:t>
      </w:r>
      <w:r>
        <w:t xml:space="preserve">La Junta Europea de Protección de Datos.</w:t>
      </w:r>
    </w:p>
    <w:p>
      <w:pPr>
        <w:pStyle w:val="BodyText"/>
      </w:pPr>
      <w:r>
        <w:rPr>
          <w:bCs/>
          <w:b/>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Cs/>
          <w:i/>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Cs/>
          <w:b/>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Cs/>
          <w:b/>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Cs/>
          <w:b/>
        </w:rPr>
        <w:t xml:space="preserve">ROPA.</w:t>
      </w:r>
      <w:r>
        <w:t xml:space="preserve"> </w:t>
      </w:r>
      <w:r>
        <w:t xml:space="preserve">Record of processing activities under Article 30.</w:t>
      </w:r>
    </w:p>
    <w:p>
      <w:pPr>
        <w:pStyle w:val="BodyText"/>
      </w:pPr>
      <w:r>
        <w:rPr>
          <w:bCs/>
          <w:b/>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39"/>
    <w:bookmarkStart w:id="140" w:name="índice-de-asunto"/>
    <w:p>
      <w:pPr>
        <w:pStyle w:val="Heading1"/>
      </w:pPr>
      <w:r>
        <w:t xml:space="preserve">19.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3"/>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Silencioso rendición de cuentas</w:t>
      </w:r>
      <w:r>
        <w:t xml:space="preserve"> </w:t>
      </w:r>
      <w:r>
        <w:t xml:space="preserve">| IA y análisis | 17 | Personal data | 1, 2, 18 |</w:t>
      </w:r>
      <w:r>
        <w:t xml:space="preserve"> </w:t>
      </w:r>
      <w:r>
        <w:t xml:space="preserve">| Artículo 28 Contrato Silencioso 5.2, 9.4 Silencioso Privacidad por diseño | 7.2, 9.4</w:t>
      </w:r>
      <w:r>
        <w:t xml:space="preserve"> </w:t>
      </w:r>
      <w:r>
        <w:t xml:space="preserve">TENIDA Decisiones automatizadas | 4, 9,3, 17 Silencioso Procesador</w:t>
      </w:r>
      <w:r>
        <w:t xml:space="preserve"> </w:t>
      </w:r>
      <w:r>
        <w:t xml:space="preserve">← Breach Silencioso 6, 9,4, 16.4 Silencioso</w:t>
      </w:r>
      <w:r>
        <w:t xml:space="preserve"> </w:t>
      </w:r>
      <w:r>
        <w:t xml:space="preserve">| Consentimiento | 3.2-3.3, 9.2 ANTERIOR Registros de procesamiento TEN 5.1, 9.4, 16.1</w:t>
      </w:r>
      <w:r>
        <w:t xml:space="preserve"> </w:t>
      </w:r>
      <w:r>
        <w:t xml:space="preserve">| EL CONTROL | 2.2, 5, 9.4</w:t>
      </w:r>
      <w:r>
        <w:t xml:space="preserve"> </w:t>
      </w:r>
      <w:r>
        <w:t xml:space="preserve">tención al mínimo de datos</w:t>
      </w:r>
      <w:r>
        <w:t xml:space="preserve"> </w:t>
      </w:r>
      <w:r>
        <w:t xml:space="preserve">tención Derechos relacionados con los datos</w:t>
      </w:r>
      <w:r>
        <w:t xml:space="preserve"> </w:t>
      </w:r>
      <w:r>
        <w:t xml:space="preserve">| DPIA | 7.1, 9.4, 16.3 Silencioso autoridad de supervisión</w:t>
      </w:r>
      <w:r>
        <w:t xml:space="preserve"> </w:t>
      </w:r>
      <w:r>
        <w:t xml:space="preserve">| DPO | 7.3, 9.4 | Tabla de contenidos ANTERI Cómo utilizar |</w:t>
      </w:r>
      <w:r>
        <w:t xml:space="preserve"> </w:t>
      </w:r>
      <w:r>
        <w:t xml:space="preserve">| Transferencias internacionales | 8, 9.5 | Herramientas | 12</w:t>
      </w:r>
      <w:r>
        <w:t xml:space="preserve"> </w:t>
      </w:r>
      <w:r>
        <w:t xml:space="preserve">Silencioso analista junior Silencioso 11, 13–15</w:t>
      </w:r>
      <w:r>
        <w:t xml:space="preserve"> </w:t>
      </w:r>
      <w:r>
        <w:t xml:space="preserve">TENIDA Bases legítimas | 3.2, 9.2 ANTERIOR Gestión de proveedores</w:t>
      </w:r>
    </w:p>
    <w:bookmarkEnd w:id="140"/>
    <w:bookmarkStart w:id="155" w:name="referencias-oficiales-y-estudio-ulterior"/>
    <w:p>
      <w:pPr>
        <w:pStyle w:val="Heading1"/>
      </w:pPr>
      <w:r>
        <w:t xml:space="preserve">20. Referencias oficiales y estudio ulterior</w:t>
      </w:r>
    </w:p>
    <w:p>
      <w:pPr>
        <w:pStyle w:val="FirstParagraph"/>
      </w:pPr>
      <w:r>
        <w:rPr>
          <w:iCs/>
          <w:i/>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41">
        <w:r>
          <w:rPr>
            <w:rStyle w:val="Hyperlink"/>
          </w:rPr>
          <w:t xml:space="preserve">Según el resumen GDPR actualizado Marzo 2026 interpretado/u fieltro</w:t>
        </w:r>
      </w:hyperlink>
    </w:p>
    <w:p>
      <w:pPr>
        <w:pStyle w:val="BodyText"/>
      </w:pPr>
      <w:hyperlink r:id="rId142">
        <w:r>
          <w:rPr>
            <w:rStyle w:val="Hyperlink"/>
          </w:rPr>
          <w:t xml:space="preserve">Seguido</w:t>
        </w:r>
      </w:hyperlink>
    </w:p>
    <w:p>
      <w:pPr>
        <w:pStyle w:val="BodyText"/>
      </w:pPr>
      <w:hyperlink r:id="rId143">
        <w:r>
          <w:rPr>
            <w:rStyle w:val="Hyperlink"/>
          </w:rPr>
          <w:t xml:space="preserve">Se indica</w:t>
        </w:r>
      </w:hyperlink>
    </w:p>
    <w:p>
      <w:pPr>
        <w:pStyle w:val="BodyText"/>
      </w:pPr>
      <w:hyperlink r:id="rId144">
        <w:r>
          <w:rPr>
            <w:rStyle w:val="Hyperlink"/>
          </w:rPr>
          <w:t xml:space="preserve">Notificación de incumplimiento</w:t>
        </w:r>
      </w:hyperlink>
    </w:p>
    <w:p>
      <w:pPr>
        <w:pStyle w:val="BodyText"/>
      </w:pPr>
      <w:hyperlink r:id="rId145">
        <w:r>
          <w:rPr>
            <w:rStyle w:val="Hyperlink"/>
          </w:rPr>
          <w:t xml:space="preserve">Según datos</w:t>
        </w:r>
      </w:hyperlink>
    </w:p>
    <w:p>
      <w:pPr>
        <w:pStyle w:val="BodyText"/>
      </w:pPr>
      <w:hyperlink r:id="rId146">
        <w:r>
          <w:rPr>
            <w:rStyle w:val="Hyperlink"/>
          </w:rPr>
          <w:t xml:space="preserve">Sección Europea</w:t>
        </w:r>
      </w:hyperlink>
    </w:p>
    <w:p>
      <w:pPr>
        <w:pStyle w:val="BodyText"/>
      </w:pPr>
      <w:hyperlink r:id="rId147">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48">
        <w:r>
          <w:rPr>
            <w:rStyle w:val="Hyperlink"/>
          </w:rPr>
          <w:t xml:space="preserve">Se indica</w:t>
        </w:r>
      </w:hyperlink>
    </w:p>
    <w:p>
      <w:pPr>
        <w:pStyle w:val="BodyText"/>
      </w:pPr>
      <w:hyperlink r:id="rId149">
        <w:r>
          <w:rPr>
            <w:rStyle w:val="Hyperlink"/>
          </w:rPr>
          <w:t xml:space="preserve">Se indica</w:t>
        </w:r>
      </w:hyperlink>
    </w:p>
    <w:p>
      <w:pPr>
        <w:pStyle w:val="BodyText"/>
      </w:pPr>
      <w:hyperlink r:id="rId150">
        <w:r>
          <w:rPr>
            <w:rStyle w:val="Hyperlink"/>
          </w:rPr>
          <w:t xml:space="preserve">Se indica</w:t>
        </w:r>
      </w:hyperlink>
    </w:p>
    <w:p>
      <w:pPr>
        <w:pStyle w:val="BodyText"/>
      </w:pPr>
      <w:hyperlink r:id="rId151">
        <w:r>
          <w:rPr>
            <w:rStyle w:val="Hyperlink"/>
          </w:rPr>
          <w:t xml:space="preserve">Se indica</w:t>
        </w:r>
      </w:hyperlink>
    </w:p>
    <w:p>
      <w:pPr>
        <w:pStyle w:val="BodyText"/>
      </w:pPr>
      <w:hyperlink r:id="rId152">
        <w:r>
          <w:rPr>
            <w:rStyle w:val="Hyperlink"/>
          </w:rPr>
          <w:t xml:space="preserve">Se indica</w:t>
        </w:r>
      </w:hyperlink>
    </w:p>
    <w:p>
      <w:pPr>
        <w:pStyle w:val="BodyText"/>
      </w:pPr>
      <w:hyperlink r:id="rId153">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54">
        <w:r>
          <w:rPr>
            <w:rStyle w:val="Hyperlink"/>
          </w:rPr>
          <w:t xml:space="preserve">Se indica</w:t>
        </w:r>
      </w:hyperlink>
    </w:p>
    <w:p>
      <w:pPr>
        <w:pStyle w:val="BodyText"/>
      </w:pPr>
      <w:r>
        <w:rPr>
          <w:bCs/>
          <w:b/>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w:t>
      </w:r>
    </w:p>
    <w:p>
      <w:pPr>
        <w:pStyle w:val="BodyText"/>
      </w:pPr>
      <w:r>
        <w:t xml:space="preserve">Respuesta</w:t>
      </w:r>
    </w:p>
    <w:bookmarkEnd w:id="1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51" Target="media/rId51.png" /><Relationship Type="http://schemas.openxmlformats.org/officeDocument/2006/relationships/image" Id="rId73" Target="media/rId73.png" /><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2026-07-31T00:25:47Z</dcterms:created>
  <dcterms:modified xsi:type="dcterms:W3CDTF">2026-07-31T00:25:47Z</dcterms:modified>
</cp:coreProperties>
</file>

<file path=docProps/custom.xml><?xml version="1.0" encoding="utf-8"?>
<Properties xmlns="http://schemas.openxmlformats.org/officeDocument/2006/custom-properties" xmlns:vt="http://schemas.openxmlformats.org/officeDocument/2006/docPropsVTypes"/>
</file>