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9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9"/>
    <w:bookmarkStart w:id="11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Playbook RMF do gestor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Start w:id="10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10"/>
    <w:bookmarkEnd w:id="11"/>
    <w:bookmarkStart w:id="13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BodyText"/>
      </w:pPr>
    </w:p>
    <w:p>
      <w:pPr>
        <w:pStyle w:val="BodyText"/>
      </w:pPr>
      <w:r>
        <w:t xml:space="preserve">Figura 1. Sete passos RMF</w:t>
      </w:r>
    </w:p>
    <w:bookmarkStart w:id="12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/>
          <w:iCs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2"/>
    <w:bookmarkEnd w:id="13"/>
    <w:bookmarkStart w:id="15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/>
          <w:iCs/>
        </w:rPr>
        <w:t xml:space="preserve">Use a fonte oficial atual e entenda como cada publicação suporta o todo.</w:t>
      </w:r>
    </w:p>
    <w:bookmarkStart w:id="14" w:name="publicaçãorecurso-uso-actual"/>
    <w:p>
      <w:pPr>
        <w:pStyle w:val="Heading2"/>
      </w:pPr>
      <w:r>
        <w:rPr>
          <w:b/>
          <w:bCs/>
        </w:rPr>
        <w:t xml:space="preserve">Publicação/recurso</w:t>
      </w:r>
      <w:r>
        <w:t xml:space="preserve"> </w:t>
      </w:r>
      <w:r>
        <w:rPr>
          <w:b/>
          <w:bCs/>
        </w:rPr>
        <w:t xml:space="preserve">Uso actual</w:t>
      </w:r>
    </w:p>
    <w:p>
      <w:pPr>
        <w:pStyle w:val="Compact"/>
        <w:numPr>
          <w:ilvl w:val="0"/>
          <w:numId w:val="1002"/>
        </w:numPr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pStyle w:val="Compact"/>
        <w:numPr>
          <w:ilvl w:val="0"/>
          <w:numId w:val="1002"/>
        </w:numPr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14"/>
    <w:bookmarkEnd w:id="15"/>
    <w:bookmarkStart w:id="16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/>
          <w:iCs/>
        </w:rPr>
        <w:t xml:space="preserve">RMF papéis implementação separada, avaliação, propriedade e aceitação de risco.</w:t>
      </w:r>
    </w:p>
    <w:p>
      <w:pPr>
        <w:pStyle w:val="BodyText"/>
      </w:pP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16"/>
    <w:bookmarkStart w:id="19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/>
          <w:iCs/>
        </w:rPr>
        <w:t xml:space="preserve">Um limite claro é a base para categorização, controles, avaliação e autorização.</w:t>
      </w:r>
    </w:p>
    <w:bookmarkStart w:id="17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17"/>
    <w:bookmarkStart w:id="18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18"/>
    <w:bookmarkEnd w:id="19"/>
    <w:bookmarkStart w:id="21" w:name="prepare-se-ao-nível-da-organização"/>
    <w:p>
      <w:pPr>
        <w:pStyle w:val="Heading1"/>
      </w:pPr>
      <w:r>
        <w:t xml:space="preserve">5. Prepare-se ao nível da organização</w:t>
      </w:r>
    </w:p>
    <w:p>
      <w:pPr>
        <w:pStyle w:val="Compact"/>
        <w:numPr>
          <w:ilvl w:val="0"/>
          <w:numId w:val="1004"/>
        </w:numPr>
      </w:pPr>
      <w:r>
        <w:t xml:space="preserve">Preparação de nível de organização faz o sistema RMF funcionar de forma consistente e eficiente.*</w:t>
      </w:r>
    </w:p>
    <w:bookmarkStart w:id="20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0"/>
    <w:bookmarkEnd w:id="21"/>
    <w:bookmarkStart w:id="22" w:name="prepare-se-ao-nível-do-sistema"/>
    <w:p>
      <w:pPr>
        <w:pStyle w:val="Heading1"/>
      </w:pPr>
      <w:r>
        <w:t xml:space="preserve">6. Prepare-se ao nível do sistema</w:t>
      </w:r>
    </w:p>
    <w:p>
      <w:pPr>
        <w:pStyle w:val="Compact"/>
        <w:numPr>
          <w:ilvl w:val="0"/>
          <w:numId w:val="1006"/>
        </w:numPr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22"/>
    <w:bookmarkStart w:id="2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/>
          <w:iCs/>
        </w:rPr>
        <w:t xml:space="preserve">Categorização descreve o impacto potencial da perda de confidencialidade, integridade ou disponibilidade.</w:t>
      </w:r>
    </w:p>
    <w:p>
      <w:pPr>
        <w:pStyle w:val="BodyText"/>
      </w:pP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23"/>
    <w:bookmarkStart w:id="2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/>
          <w:iCs/>
        </w:rPr>
        <w:t xml:space="preserve">Seleção cria um conjunto personalizado de controles que aborda o sistema e risco organizacional.</w:t>
      </w:r>
    </w:p>
    <w:bookmarkEnd w:id="24"/>
    <w:bookmarkStart w:id="2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Compact"/>
        <w:numPr>
          <w:ilvl w:val="0"/>
          <w:numId w:val="1010"/>
        </w:numPr>
      </w:pPr>
      <w:r>
        <w:t xml:space="preserve">Implementar controles</w:t>
      </w:r>
    </w:p>
    <w:p>
      <w:pPr>
        <w:pStyle w:val="Compact"/>
        <w:numPr>
          <w:ilvl w:val="0"/>
          <w:numId w:val="1011"/>
        </w:numPr>
      </w:pPr>
      <w:r>
        <w:t xml:space="preserve">Implementação transforma controles selecionados em salvaguardas reais, atribuídas, configuradas e operadas.*</w:t>
      </w:r>
    </w:p>
    <w:bookmarkStart w:id="2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25"/>
    <w:bookmarkEnd w:id="26"/>
    <w:bookmarkStart w:id="2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/>
          <w:iCs/>
        </w:rPr>
        <w:t xml:space="preserve">Avaliação determina se os controles são implementados corretamente, funcionando como pretendido, e produzindo o resultado desejado.</w:t>
      </w:r>
    </w:p>
    <w:bookmarkStart w:id="2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27"/>
    <w:bookmarkStart w:id="2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28"/>
    <w:bookmarkEnd w:id="29"/>
    <w:bookmarkStart w:id="32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/>
          <w:iCs/>
        </w:rPr>
        <w:t xml:space="preserve">Autorização é uma decisão de risco senior explícita baseada no pacote e contexto organizacional.</w:t>
      </w:r>
    </w:p>
    <w:p>
      <w:pPr>
        <w:pStyle w:val="BodyText"/>
      </w:pPr>
    </w:p>
    <w:p>
      <w:pPr>
        <w:pStyle w:val="BodyText"/>
      </w:pPr>
      <w:r>
        <w:t xml:space="preserve">Figura 7. Decisão de autorização de risco</w:t>
      </w:r>
    </w:p>
    <w:bookmarkStart w:id="30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30"/>
    <w:bookmarkStart w:id="31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31"/>
    <w:bookmarkEnd w:id="32"/>
    <w:bookmarkStart w:id="35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/>
          <w:iCs/>
        </w:rPr>
        <w:t xml:space="preserve">Monitor rastreia controles, mudanças de sistema, ameaça, descobertas e risco após a autorização.</w:t>
      </w:r>
    </w:p>
    <w:bookmarkStart w:id="33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33"/>
    <w:bookmarkStart w:id="34" w:name="Xc17dc286339c0bb49fd8d7d7bedc43c4ca2c0aa"/>
    <w:p>
      <w:pPr>
        <w:pStyle w:val="Heading2"/>
      </w:pPr>
      <w:r>
        <w:rPr>
          <w:b/>
          <w:bCs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34"/>
    <w:bookmarkEnd w:id="35"/>
    <w:bookmarkStart w:id="37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/>
          <w:iCs/>
        </w:rPr>
        <w:t xml:space="preserve">Baselines são pontos de partida; a alfaiataria os torna apropriados e defensáveis.</w:t>
      </w:r>
    </w:p>
    <w:p>
      <w:pPr>
        <w:pStyle w:val="BodyText"/>
      </w:pPr>
    </w:p>
    <w:p>
      <w:pPr>
        <w:pStyle w:val="BodyText"/>
      </w:pPr>
      <w:r>
        <w:t xml:space="preserve">Figura 4. Personalização de controle</w:t>
      </w:r>
    </w:p>
    <w:bookmarkStart w:id="36" w:name="baselina-purpose"/>
    <w:p>
      <w:pPr>
        <w:pStyle w:val="Heading2"/>
      </w:pPr>
      <w:r>
        <w:t xml:space="preserve">*Baselina</w:t>
      </w:r>
      <w:r>
        <w:rPr>
          <w:b/>
          <w:bCs/>
        </w:rPr>
        <w:t xml:space="preserve"> </w:t>
      </w:r>
      <w:r>
        <w:t xml:space="preserve">Purpose**</w:t>
      </w:r>
    </w:p>
    <w:p>
      <w:pPr>
        <w:pStyle w:val="Compact"/>
        <w:numPr>
          <w:ilvl w:val="0"/>
          <w:numId w:val="1016"/>
        </w:numPr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36"/>
    <w:bookmarkEnd w:id="37"/>
    <w:bookmarkStart w:id="38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38"/>
    <w:bookmarkStart w:id="40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pStyle w:val="Compact"/>
        <w:numPr>
          <w:ilvl w:val="0"/>
          <w:numId w:val="1018"/>
        </w:numPr>
      </w:pPr>
      <w:r>
        <w:t xml:space="preserve">Control alocation explica quem fornece cada controle e qual parte do sistema deve implementar.*</w:t>
      </w:r>
    </w:p>
    <w:bookmarkStart w:id="39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39"/>
    <w:bookmarkEnd w:id="40"/>
    <w:bookmarkStart w:id="43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pStyle w:val="Compact"/>
        <w:numPr>
          <w:ilvl w:val="0"/>
          <w:numId w:val="1020"/>
        </w:numPr>
      </w:pPr>
      <w:r>
        <w:t xml:space="preserve">Uma instrução de implementação deve deixar que outra pessoa entenda e teste o controle real.*</w:t>
      </w:r>
    </w:p>
    <w:p>
      <w:pPr>
        <w:pStyle w:val="FirstParagraph"/>
      </w:pPr>
    </w:p>
    <w:p>
      <w:pPr>
        <w:pStyle w:val="BodyText"/>
      </w:pPr>
      <w:r>
        <w:t xml:space="preserve">Figura 5. Anatomia de controle</w:t>
      </w:r>
    </w:p>
    <w:p>
      <w:pPr>
        <w:pStyle w:val="Heading2"/>
        <w:numPr>
          <w:ilvl w:val="0"/>
          <w:numId w:val="1021"/>
        </w:numPr>
      </w:pPr>
      <w:bookmarkStart w:id="41" w:name="Xedc10af444e551c1fab18e313a051886c486d42"/>
      <w:r>
        <w:t xml:space="preserve">Declaração fraca** ** Padrão de instrução de Stronger**</w:t>
      </w:r>
      <w:bookmarkEnd w:id="41"/>
    </w:p>
    <w:p>
      <w:pPr>
        <w:pStyle w:val="Compact"/>
        <w:numPr>
          <w:ilvl w:val="0"/>
          <w:numId w:val="1000"/>
        </w:numPr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42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42"/>
    <w:bookmarkEnd w:id="43"/>
    <w:bookmarkStart w:id="45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pStyle w:val="Compact"/>
        <w:numPr>
          <w:ilvl w:val="0"/>
          <w:numId w:val="1023"/>
        </w:numPr>
      </w:pPr>
      <w:r>
        <w:t xml:space="preserve">Os procedimentos SP 800-53A são personalizados em um plano de avaliação aprovado.*</w:t>
      </w:r>
    </w:p>
    <w:p>
      <w:pPr>
        <w:pStyle w:val="FirstParagraph"/>
      </w:pPr>
    </w:p>
    <w:p>
      <w:pPr>
        <w:pStyle w:val="BodyText"/>
      </w:pPr>
      <w:r>
        <w:t xml:space="preserve">Figura 6. Estrutura do procedimento de avaliação</w:t>
      </w:r>
    </w:p>
    <w:bookmarkStart w:id="44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44"/>
    <w:bookmarkEnd w:id="45"/>
    <w:bookmarkStart w:id="46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46"/>
    <w:bookmarkStart w:id="47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/>
          <w:iCs/>
        </w:rPr>
        <w:t xml:space="preserve">O pacote conta a história de risco do propósito do sistema para abrir fraqueza e monitoramento.</w:t>
      </w:r>
    </w:p>
    <w:bookmarkEnd w:id="47"/>
    <w:bookmarkStart w:id="48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“header”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48"/>
    <w:bookmarkStart w:id="50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/>
          <w:iCs/>
        </w:rPr>
        <w:t xml:space="preserve">Uma estratégia de monitoramento define quais evidências são coletadas, quantas vezes, e que decisão segue.</w:t>
      </w:r>
    </w:p>
    <w:p>
      <w:pPr>
        <w:pStyle w:val="BodyText"/>
      </w:pPr>
    </w:p>
    <w:p>
      <w:pPr>
        <w:pStyle w:val="BodyText"/>
      </w:pPr>
      <w:r>
        <w:t xml:space="preserve">Figura 8. Monitoramento contínuo e resposta</w:t>
      </w:r>
    </w:p>
    <w:p>
      <w:pPr>
        <w:pStyle w:val="Heading2"/>
        <w:numPr>
          <w:ilvl w:val="0"/>
          <w:numId w:val="1026"/>
        </w:numPr>
      </w:pPr>
      <w:bookmarkStart w:id="49" w:name="campo-exemplo-conteúdo-de-decisão"/>
      <w:r>
        <w:t xml:space="preserve">** Campo**</w:t>
      </w:r>
      <w:r>
        <w:t xml:space="preserve"> </w:t>
      </w:r>
      <w:r>
        <w:rPr>
          <w:b/>
          <w:bCs/>
        </w:rPr>
        <w:t xml:space="preserve">Exemplo conteúdo de decisão</w:t>
      </w:r>
      <w:bookmarkEnd w:id="49"/>
    </w:p>
    <w:p>
      <w:pPr>
        <w:pStyle w:val="Compact"/>
        <w:numPr>
          <w:ilvl w:val="0"/>
          <w:numId w:val="1000"/>
        </w:numPr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50"/>
    <w:bookmarkStart w:id="53" w:name="oscal-e-automação"/>
    <w:p>
      <w:pPr>
        <w:pStyle w:val="Heading1"/>
      </w:pPr>
      <w:r>
        <w:t xml:space="preserve">19. OSCAL e Automação</w:t>
      </w:r>
    </w:p>
    <w:p>
      <w:pPr>
        <w:pStyle w:val="Compact"/>
        <w:numPr>
          <w:ilvl w:val="0"/>
          <w:numId w:val="1027"/>
        </w:numPr>
      </w:pPr>
      <w:r>
        <w:t xml:space="preserve">OSCAL suporta informações de controle, implementação, avaliação e remediação legíveis por máquina.</w:t>
      </w:r>
    </w:p>
    <w:p>
      <w:pPr>
        <w:pStyle w:val="FirstParagraph"/>
      </w:pPr>
    </w:p>
    <w:p>
      <w:pPr>
        <w:pStyle w:val="BodyText"/>
      </w:pPr>
      <w:r>
        <w:t xml:space="preserve">Figura 9. Fluxo do modelo OSCAL</w:t>
      </w:r>
    </w:p>
    <w:bookmarkStart w:id="51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51"/>
    <w:bookmarkStart w:id="52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52"/>
    <w:bookmarkEnd w:id="53"/>
    <w:bookmarkStart w:id="54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/>
          <w:iCs/>
        </w:rPr>
        <w:t xml:space="preserve">Quatro famílias estabelecem quem pode agir, como as pessoas aprendem, o que é registrado, e como as decisões de garantia são tomadas.</w:t>
      </w:r>
    </w:p>
    <w:bookmarkEnd w:id="54"/>
    <w:bookmarkStart w:id="56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55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55"/>
    <w:bookmarkEnd w:id="56"/>
    <w:bookmarkStart w:id="57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57"/>
    <w:bookmarkStart w:id="58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58"/>
    <w:bookmarkStart w:id="59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59"/>
    <w:bookmarkStart w:id="60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/>
          <w:iCs/>
        </w:rPr>
        <w:t xml:space="preserve">Estas famílias garantem configuração, resiliência, identidade, resposta e manutenção controlada.</w:t>
      </w:r>
    </w:p>
    <w:bookmarkEnd w:id="60"/>
    <w:bookmarkStart w:id="61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61"/>
    <w:bookmarkStart w:id="62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62"/>
    <w:bookmarkStart w:id="63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63"/>
    <w:bookmarkStart w:id="64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64"/>
    <w:bookmarkStart w:id="65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65"/>
    <w:bookmarkStart w:id="66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pStyle w:val="Compact"/>
        <w:numPr>
          <w:ilvl w:val="0"/>
          <w:numId w:val="1029"/>
        </w:numPr>
      </w:pPr>
      <w:r>
        <w:t xml:space="preserve">Estas famílias protegem a mídia, instalações, planos, programas e pessoal.*</w:t>
      </w:r>
    </w:p>
    <w:bookmarkEnd w:id="66"/>
    <w:bookmarkStart w:id="68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67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67"/>
    <w:bookmarkEnd w:id="68"/>
    <w:bookmarkStart w:id="69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69"/>
    <w:bookmarkStart w:id="70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70"/>
    <w:bookmarkStart w:id="72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71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71"/>
    <w:bookmarkEnd w:id="72"/>
    <w:bookmarkStart w:id="74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73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73"/>
    <w:bookmarkEnd w:id="74"/>
    <w:bookmarkStart w:id="75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pStyle w:val="Compact"/>
        <w:numPr>
          <w:ilvl w:val="0"/>
          <w:numId w:val="1030"/>
        </w:numPr>
      </w:pPr>
      <w:r>
        <w:t xml:space="preserve">Essas famílias cobrem PII, risco, aquisição, arquitetura/comunicações, integridade e cadeias de suprimentos.*</w:t>
      </w:r>
    </w:p>
    <w:bookmarkEnd w:id="75"/>
    <w:bookmarkStart w:id="77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76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76"/>
    <w:bookmarkEnd w:id="77"/>
    <w:bookmarkStart w:id="78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78"/>
    <w:bookmarkStart w:id="79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79"/>
    <w:bookmarkStart w:id="80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80"/>
    <w:bookmarkStart w:id="81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81"/>
    <w:bookmarkStart w:id="82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/>
          <w:iCs/>
        </w:rPr>
        <w:t xml:space="preserve">Rev. 5 integra controles de segurança e privacidade, preservando objetivos distintos e métodos de risco.</w:t>
      </w:r>
    </w:p>
    <w:bookmarkEnd w:id="82"/>
    <w:bookmarkStart w:id="84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83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83"/>
    <w:bookmarkEnd w:id="84"/>
    <w:bookmarkStart w:id="86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Release 5.2.0 mudança</w:t>
      </w:r>
      <w:r>
        <w:t xml:space="preserve"> </w:t>
      </w:r>
      <w:r>
        <w:rPr>
          <w:b/>
          <w:bCs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85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85"/>
    <w:bookmarkEnd w:id="86"/>
    <w:bookmarkStart w:id="88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/>
          <w:iCs/>
        </w:rPr>
        <w:t xml:space="preserve">Recursos oficiais e ferramentas de código aberto podem apoiar a autoria, evidência, avaliação e monitoramento contínuo.</w:t>
      </w:r>
    </w:p>
    <w:bookmarkStart w:id="87" w:name="recurso-ferramenta-purpose"/>
    <w:p>
      <w:pPr>
        <w:pStyle w:val="Heading2"/>
      </w:pPr>
      <w:r>
        <w:t xml:space="preserve">*Recurso / ferramenta</w:t>
      </w:r>
      <w:r>
        <w:rPr>
          <w:b/>
          <w:bCs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87"/>
    <w:bookmarkEnd w:id="88"/>
    <w:bookmarkStart w:id="90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89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90"/>
    <w:bookmarkStart w:id="92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91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92"/>
    <w:bookmarkStart w:id="94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93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94"/>
    <w:bookmarkStart w:id="96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95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96"/>
    <w:bookmarkStart w:id="98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97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98"/>
    <w:bookmarkStart w:id="100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99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0"/>
    <w:bookmarkStart w:id="102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01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2"/>
    <w:bookmarkStart w:id="104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03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4"/>
    <w:bookmarkStart w:id="106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5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6"/>
    <w:bookmarkStart w:id="109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07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9"/>
    <w:bookmarkStart w:id="111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10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1"/>
    <w:bookmarkStart w:id="113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12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3"/>
    <w:bookmarkStart w:id="115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4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5"/>
    <w:bookmarkStart w:id="117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16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7"/>
    <w:bookmarkStart w:id="119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18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9"/>
    <w:bookmarkStart w:id="121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20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1"/>
    <w:bookmarkStart w:id="123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22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3"/>
    <w:bookmarkStart w:id="126" w:name="rmf-playbook-do-gerente"/>
    <w:p>
      <w:pPr>
        <w:pStyle w:val="Heading1"/>
      </w:pPr>
      <w:r>
        <w:t xml:space="preserve">27. RMF Playbook do gerente</w:t>
      </w:r>
    </w:p>
    <w:p>
      <w:pPr>
        <w:pStyle w:val="Compact"/>
        <w:numPr>
          <w:ilvl w:val="0"/>
          <w:numId w:val="1034"/>
        </w:numPr>
      </w:pPr>
      <w:r>
        <w:t xml:space="preserve">Os gerentes mantêm RMF focado em risco de missão, evidências confiáveis, decisões oportunas e correção.*</w:t>
      </w:r>
    </w:p>
    <w:bookmarkStart w:id="124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24"/>
    <w:bookmarkStart w:id="125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25"/>
    <w:bookmarkEnd w:id="126"/>
    <w:bookmarkStart w:id="127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/>
          <w:iCs/>
        </w:rPr>
        <w:t xml:space="preserve">Junior RMF analistas criar valor através de limites precisos, mapeamentos, declarações, evidências, descobertas e rastreamento.</w:t>
      </w:r>
    </w:p>
    <w:p>
      <w:pPr>
        <w:pStyle w:val="BodyText"/>
      </w:pPr>
    </w:p>
    <w:p>
      <w:pPr>
        <w:pStyle w:val="BodyText"/>
      </w:pPr>
      <w:r>
        <w:t xml:space="preserve">Figura 10. Caminho de analista RMF júnior</w:t>
      </w:r>
    </w:p>
    <w:bookmarkEnd w:id="127"/>
    <w:bookmarkStart w:id="128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28"/>
    <w:bookmarkStart w:id="129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29"/>
    <w:bookmarkStart w:id="131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pStyle w:val="Compact"/>
        <w:numPr>
          <w:ilvl w:val="0"/>
          <w:numId w:val="1038"/>
        </w:numPr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30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30"/>
    <w:bookmarkEnd w:id="131"/>
    <w:bookmarkStart w:id="133" w:name="plano-de-30-dias"/>
    <w:p>
      <w:pPr>
        <w:pStyle w:val="Heading1"/>
      </w:pPr>
      <w:r>
        <w:t xml:space="preserve"># 29,2 Plano de 30 dias</w:t>
      </w:r>
    </w:p>
    <w:p>
      <w:pPr>
        <w:pStyle w:val="Heading2"/>
        <w:numPr>
          <w:ilvl w:val="0"/>
          <w:numId w:val="1040"/>
        </w:numPr>
      </w:pPr>
      <w:bookmarkStart w:id="132" w:name="dias-foco-entrega"/>
      <w:r>
        <w:t xml:space="preserve">Dias** * Foco** * Entrega**</w:t>
      </w:r>
      <w:bookmarkEnd w:id="132"/>
    </w:p>
    <w:p>
      <w:pPr>
        <w:pStyle w:val="Compact"/>
        <w:numPr>
          <w:ilvl w:val="0"/>
          <w:numId w:val="1000"/>
        </w:numPr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33"/>
    <w:bookmarkStart w:id="140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34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34"/>
    <w:bookmarkStart w:id="135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35"/>
    <w:bookmarkStart w:id="136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36"/>
    <w:bookmarkStart w:id="137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37"/>
    <w:bookmarkStart w:id="138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38"/>
    <w:bookmarkStart w:id="139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39"/>
    <w:bookmarkEnd w:id="140"/>
    <w:bookmarkStart w:id="141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41"/>
    <w:bookmarkStart w:id="142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42"/>
    <w:bookmarkStart w:id="143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43"/>
    <w:bookmarkStart w:id="146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pStyle w:val="Compact"/>
        <w:numPr>
          <w:ilvl w:val="0"/>
          <w:numId w:val="1041"/>
        </w:numPr>
      </w:pPr>
      <w:r>
        <w:t xml:space="preserve">Estruturas de trabalho reutilizáveis, termos-chave, índice de assunto e fontes oficiais.*</w:t>
      </w:r>
    </w:p>
    <w:bookmarkStart w:id="145" w:name="registro-de-sistema-e-limite"/>
    <w:p>
      <w:pPr>
        <w:pStyle w:val="Heading2"/>
      </w:pPr>
      <w:r>
        <w:t xml:space="preserve">30.1 Registro de sistema e limite</w:t>
      </w:r>
    </w:p>
    <w:p>
      <w:pPr>
        <w:pStyle w:val="Heading2"/>
        <w:numPr>
          <w:ilvl w:val="0"/>
          <w:numId w:val="1042"/>
        </w:numPr>
      </w:pPr>
      <w:bookmarkStart w:id="144" w:name="campo-entrada"/>
      <w:r>
        <w:t xml:space="preserve">Campo** * Entrada**</w:t>
      </w:r>
      <w:bookmarkEnd w:id="144"/>
    </w:p>
    <w:p>
      <w:pPr>
        <w:pStyle w:val="Compact"/>
        <w:numPr>
          <w:ilvl w:val="0"/>
          <w:numId w:val="1000"/>
        </w:numPr>
      </w:pPr>
      <w:r>
        <w:t xml:space="preserve">• Sistema/proprietário/missão</w:t>
      </w:r>
    </w:p>
    <w:p>
      <w:pPr>
        <w:pStyle w:val="Compact"/>
        <w:numPr>
          <w:ilvl w:val="0"/>
          <w:numId w:val="1042"/>
        </w:numPr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pStyle w:val="Compact"/>
        <w:numPr>
          <w:ilvl w:val="0"/>
          <w:numId w:val="1042"/>
        </w:numPr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pStyle w:val="Compact"/>
        <w:numPr>
          <w:ilvl w:val="0"/>
          <w:numId w:val="1042"/>
        </w:numPr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45"/>
    <w:bookmarkEnd w:id="146"/>
    <w:bookmarkStart w:id="151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pStyle w:val="Heading2"/>
        <w:numPr>
          <w:ilvl w:val="0"/>
          <w:numId w:val="1043"/>
        </w:numPr>
      </w:pPr>
      <w:bookmarkStart w:id="147" w:name="campo-entrada-1"/>
      <w:r>
        <w:t xml:space="preserve">Campo** * Entrada**</w:t>
      </w:r>
      <w:bookmarkEnd w:id="147"/>
    </w:p>
    <w:p>
      <w:pPr>
        <w:pStyle w:val="Compact"/>
        <w:numPr>
          <w:ilvl w:val="0"/>
          <w:numId w:val="1000"/>
        </w:numPr>
      </w:pPr>
      <w:r>
        <w:t xml:space="preserve">• Controlo/melhoramento/libertação</w:t>
      </w:r>
    </w:p>
    <w:p>
      <w:pPr>
        <w:pStyle w:val="Compact"/>
        <w:numPr>
          <w:ilvl w:val="0"/>
          <w:numId w:val="1043"/>
        </w:numPr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pStyle w:val="Compact"/>
        <w:numPr>
          <w:ilvl w:val="0"/>
          <w:numId w:val="1043"/>
        </w:numPr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48" w:name="avaliação-e-registro-de-busca"/>
    <w:p>
      <w:pPr>
        <w:pStyle w:val="Heading2"/>
      </w:pPr>
      <w:r>
        <w:t xml:space="preserve">30.3 Avaliação e registro de busca</w:t>
      </w:r>
    </w:p>
    <w:p>
      <w:pPr>
        <w:pStyle w:val="Compact"/>
        <w:numPr>
          <w:ilvl w:val="0"/>
          <w:numId w:val="1044"/>
        </w:numPr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pStyle w:val="Compact"/>
        <w:numPr>
          <w:ilvl w:val="0"/>
          <w:numId w:val="1044"/>
        </w:numPr>
      </w:pPr>
      <w:r>
        <w:t xml:space="preserve">Profundidade/cobertura/período</w:t>
      </w:r>
    </w:p>
    <w:p>
      <w:pPr>
        <w:pStyle w:val="Compact"/>
        <w:numPr>
          <w:ilvl w:val="0"/>
          <w:numId w:val="1044"/>
        </w:numPr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pStyle w:val="Compact"/>
        <w:numPr>
          <w:ilvl w:val="0"/>
          <w:numId w:val="1044"/>
        </w:numPr>
      </w:pPr>
      <w:r>
        <w:t xml:space="preserve">Risco/causas</w:t>
      </w:r>
    </w:p>
    <w:p>
      <w:pPr>
        <w:pStyle w:val="Compact"/>
        <w:numPr>
          <w:ilvl w:val="0"/>
          <w:numId w:val="1044"/>
        </w:numPr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48"/>
    <w:bookmarkStart w:id="150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pStyle w:val="Heading2"/>
        <w:numPr>
          <w:ilvl w:val="0"/>
          <w:numId w:val="1045"/>
        </w:numPr>
      </w:pPr>
      <w:bookmarkStart w:id="149" w:name="campo-entrada-2"/>
      <w:r>
        <w:t xml:space="preserve">Campo** * Entrada**</w:t>
      </w:r>
      <w:bookmarkEnd w:id="149"/>
    </w:p>
    <w:p>
      <w:pPr>
        <w:pStyle w:val="Compact"/>
        <w:numPr>
          <w:ilvl w:val="0"/>
          <w:numId w:val="1045"/>
        </w:numPr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pStyle w:val="Compact"/>
        <w:numPr>
          <w:ilvl w:val="0"/>
          <w:numId w:val="1045"/>
        </w:numPr>
      </w:pPr>
      <w:r>
        <w:t xml:space="preserve">Limiar/escalão</w:t>
      </w:r>
    </w:p>
    <w:p>
      <w:pPr>
        <w:pStyle w:val="Compact"/>
        <w:numPr>
          <w:ilvl w:val="0"/>
          <w:numId w:val="1045"/>
        </w:numPr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50"/>
    <w:bookmarkEnd w:id="151"/>
    <w:bookmarkStart w:id="153" w:name="glossário"/>
    <w:p>
      <w:pPr>
        <w:pStyle w:val="Heading1"/>
      </w:pPr>
      <w:r>
        <w:t xml:space="preserve"># 30.5 Glossário</w:t>
      </w:r>
    </w:p>
    <w:bookmarkStart w:id="152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52"/>
    <w:bookmarkEnd w:id="153"/>
    <w:bookmarkStart w:id="169" w:name="índice-de-assunto"/>
    <w:p>
      <w:pPr>
        <w:pStyle w:val="Heading1"/>
      </w:pPr>
      <w:r>
        <w:t xml:space="preserve"># 30.6 Índice de assunto</w:t>
      </w:r>
    </w:p>
    <w:bookmarkStart w:id="154" w:name="sujeito-capítulo"/>
    <w:p>
      <w:pPr>
        <w:pStyle w:val="Heading2"/>
      </w:pPr>
      <w:r>
        <w:rPr>
          <w:b/>
          <w:bCs/>
        </w:rPr>
        <w:t xml:space="preserve">Sujeito</w:t>
      </w:r>
      <w:r>
        <w:t xml:space="preserve"> </w:t>
      </w:r>
      <w:r>
        <w:rPr>
          <w:b/>
          <w:bCs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54"/>
    <w:bookmarkStart w:id="167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55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56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57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58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159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160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161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162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163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89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164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165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166">
        <w:r>
          <w:rPr>
            <w:rStyle w:val="Hyperlink"/>
          </w:rPr>
          <w:t xml:space="preserve">NIST RMF cursos introdutórios</w:t>
        </w:r>
      </w:hyperlink>
    </w:p>
    <w:bookmarkEnd w:id="167"/>
    <w:bookmarkStart w:id="168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0" Target="https://csrc.nist.gov/News/2025/nist-releases-revision-to-sp-800-53-controls" TargetMode="External" /><Relationship Type="http://schemas.openxmlformats.org/officeDocument/2006/relationships/hyperlink" Id="rId89" Target="https://csrc.nist.gov/projects/cprt/catalog" TargetMode="External" /><Relationship Type="http://schemas.openxmlformats.org/officeDocument/2006/relationships/hyperlink" Id="rId155" Target="https://csrc.nist.gov/projects/risk-management" TargetMode="External" /><Relationship Type="http://schemas.openxmlformats.org/officeDocument/2006/relationships/hyperlink" Id="rId166" Target="https://csrc.nist.gov/projects/risk-management/rmf-courses" TargetMode="External" /><Relationship Type="http://schemas.openxmlformats.org/officeDocument/2006/relationships/hyperlink" Id="rId165" Target="https://csrc.nist.gov/projects/risk-management/sp800-53-controls/downloads" TargetMode="External" /><Relationship Type="http://schemas.openxmlformats.org/officeDocument/2006/relationships/hyperlink" Id="rId161" Target="https://csrc.nist.gov/pubs/sp/800/18/r2/final" TargetMode="External" /><Relationship Type="http://schemas.openxmlformats.org/officeDocument/2006/relationships/hyperlink" Id="rId162" Target="https://csrc.nist.gov/pubs/sp/800/30/r1/final" TargetMode="External" /><Relationship Type="http://schemas.openxmlformats.org/officeDocument/2006/relationships/hyperlink" Id="rId156" Target="https://csrc.nist.gov/pubs/sp/800/37/r2/final" TargetMode="External" /><Relationship Type="http://schemas.openxmlformats.org/officeDocument/2006/relationships/hyperlink" Id="rId163" Target="https://csrc.nist.gov/pubs/sp/800/39/final" TargetMode="External" /><Relationship Type="http://schemas.openxmlformats.org/officeDocument/2006/relationships/hyperlink" Id="rId158" Target="https://csrc.nist.gov/pubs/sp/800/53/a/r5/final" TargetMode="External" /><Relationship Type="http://schemas.openxmlformats.org/officeDocument/2006/relationships/hyperlink" Id="rId159" Target="https://csrc.nist.gov/pubs/sp/800/53/b/upd1/final" TargetMode="External" /><Relationship Type="http://schemas.openxmlformats.org/officeDocument/2006/relationships/hyperlink" Id="rId157" Target="https://csrc.nist.gov/pubs/sp/800/53/r5/upd1/final" TargetMode="External" /><Relationship Type="http://schemas.openxmlformats.org/officeDocument/2006/relationships/hyperlink" Id="rId95" Target="https://github.com/defenseunicorns/lula" TargetMode="External" /><Relationship Type="http://schemas.openxmlformats.org/officeDocument/2006/relationships/hyperlink" Id="rId99" Target="https://github.com/mitre/heimdall2" TargetMode="External" /><Relationship Type="http://schemas.openxmlformats.org/officeDocument/2006/relationships/hyperlink" Id="rId101" Target="https://github.com/opencontrol" TargetMode="External" /><Relationship Type="http://schemas.openxmlformats.org/officeDocument/2006/relationships/hyperlink" Id="rId93" Target="https://github.com/oscal-compass/compliance-trestle" TargetMode="External" /><Relationship Type="http://schemas.openxmlformats.org/officeDocument/2006/relationships/hyperlink" Id="rId103" Target="https://github.com/usnistgov/oscal-cli" TargetMode="External" /><Relationship Type="http://schemas.openxmlformats.org/officeDocument/2006/relationships/hyperlink" Id="rId91" Target="https://github.com/usnistgov/oscal-content" TargetMode="External" /><Relationship Type="http://schemas.openxmlformats.org/officeDocument/2006/relationships/hyperlink" Id="rId112" Target="https://greenbone.github.io/docs/latest/" TargetMode="External" /><Relationship Type="http://schemas.openxmlformats.org/officeDocument/2006/relationships/hyperlink" Id="rId97" Target="https://intuitem.github.io/ciso-assistant-community/" TargetMode="External" /><Relationship Type="http://schemas.openxmlformats.org/officeDocument/2006/relationships/hyperlink" Id="rId110" Target="https://nmap.org/" TargetMode="External" /><Relationship Type="http://schemas.openxmlformats.org/officeDocument/2006/relationships/hyperlink" Id="rId164" Target="https://pages.nist.gov/OSCAL/" TargetMode="External" /><Relationship Type="http://schemas.openxmlformats.org/officeDocument/2006/relationships/hyperlink" Id="rId114" Target="https://trivy.dev/" TargetMode="External" /><Relationship Type="http://schemas.openxmlformats.org/officeDocument/2006/relationships/hyperlink" Id="rId105" Target="https://wazuh.com/" TargetMode="External" /><Relationship Type="http://schemas.openxmlformats.org/officeDocument/2006/relationships/hyperlink" Id="rId120" Target="https://www.defectdojo.org/" TargetMode="External" /><Relationship Type="http://schemas.openxmlformats.org/officeDocument/2006/relationships/hyperlink" Id="rId118" Target="https://www.keycloak.org/" TargetMode="External" /><Relationship Type="http://schemas.openxmlformats.org/officeDocument/2006/relationships/hyperlink" Id="rId107" Target="https://www.open-scap.org/" TargetMode="External" /><Relationship Type="http://schemas.openxmlformats.org/officeDocument/2006/relationships/hyperlink" Id="rId122" Target="https://www.openpolicyagent.org/" TargetMode="External" /><Relationship Type="http://schemas.openxmlformats.org/officeDocument/2006/relationships/hyperlink" Id="rId108" Target="https://www.osquery.io/" TargetMode="External" /><Relationship Type="http://schemas.openxmlformats.org/officeDocument/2006/relationships/hyperlink" Id="rId116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0" Target="https://csrc.nist.gov/News/2025/nist-releases-revision-to-sp-800-53-controls" TargetMode="External" /><Relationship Type="http://schemas.openxmlformats.org/officeDocument/2006/relationships/hyperlink" Id="rId89" Target="https://csrc.nist.gov/projects/cprt/catalog" TargetMode="External" /><Relationship Type="http://schemas.openxmlformats.org/officeDocument/2006/relationships/hyperlink" Id="rId155" Target="https://csrc.nist.gov/projects/risk-management" TargetMode="External" /><Relationship Type="http://schemas.openxmlformats.org/officeDocument/2006/relationships/hyperlink" Id="rId166" Target="https://csrc.nist.gov/projects/risk-management/rmf-courses" TargetMode="External" /><Relationship Type="http://schemas.openxmlformats.org/officeDocument/2006/relationships/hyperlink" Id="rId165" Target="https://csrc.nist.gov/projects/risk-management/sp800-53-controls/downloads" TargetMode="External" /><Relationship Type="http://schemas.openxmlformats.org/officeDocument/2006/relationships/hyperlink" Id="rId161" Target="https://csrc.nist.gov/pubs/sp/800/18/r2/final" TargetMode="External" /><Relationship Type="http://schemas.openxmlformats.org/officeDocument/2006/relationships/hyperlink" Id="rId162" Target="https://csrc.nist.gov/pubs/sp/800/30/r1/final" TargetMode="External" /><Relationship Type="http://schemas.openxmlformats.org/officeDocument/2006/relationships/hyperlink" Id="rId156" Target="https://csrc.nist.gov/pubs/sp/800/37/r2/final" TargetMode="External" /><Relationship Type="http://schemas.openxmlformats.org/officeDocument/2006/relationships/hyperlink" Id="rId163" Target="https://csrc.nist.gov/pubs/sp/800/39/final" TargetMode="External" /><Relationship Type="http://schemas.openxmlformats.org/officeDocument/2006/relationships/hyperlink" Id="rId158" Target="https://csrc.nist.gov/pubs/sp/800/53/a/r5/final" TargetMode="External" /><Relationship Type="http://schemas.openxmlformats.org/officeDocument/2006/relationships/hyperlink" Id="rId159" Target="https://csrc.nist.gov/pubs/sp/800/53/b/upd1/final" TargetMode="External" /><Relationship Type="http://schemas.openxmlformats.org/officeDocument/2006/relationships/hyperlink" Id="rId157" Target="https://csrc.nist.gov/pubs/sp/800/53/r5/upd1/final" TargetMode="External" /><Relationship Type="http://schemas.openxmlformats.org/officeDocument/2006/relationships/hyperlink" Id="rId95" Target="https://github.com/defenseunicorns/lula" TargetMode="External" /><Relationship Type="http://schemas.openxmlformats.org/officeDocument/2006/relationships/hyperlink" Id="rId99" Target="https://github.com/mitre/heimdall2" TargetMode="External" /><Relationship Type="http://schemas.openxmlformats.org/officeDocument/2006/relationships/hyperlink" Id="rId101" Target="https://github.com/opencontrol" TargetMode="External" /><Relationship Type="http://schemas.openxmlformats.org/officeDocument/2006/relationships/hyperlink" Id="rId93" Target="https://github.com/oscal-compass/compliance-trestle" TargetMode="External" /><Relationship Type="http://schemas.openxmlformats.org/officeDocument/2006/relationships/hyperlink" Id="rId103" Target="https://github.com/usnistgov/oscal-cli" TargetMode="External" /><Relationship Type="http://schemas.openxmlformats.org/officeDocument/2006/relationships/hyperlink" Id="rId91" Target="https://github.com/usnistgov/oscal-content" TargetMode="External" /><Relationship Type="http://schemas.openxmlformats.org/officeDocument/2006/relationships/hyperlink" Id="rId112" Target="https://greenbone.github.io/docs/latest/" TargetMode="External" /><Relationship Type="http://schemas.openxmlformats.org/officeDocument/2006/relationships/hyperlink" Id="rId97" Target="https://intuitem.github.io/ciso-assistant-community/" TargetMode="External" /><Relationship Type="http://schemas.openxmlformats.org/officeDocument/2006/relationships/hyperlink" Id="rId110" Target="https://nmap.org/" TargetMode="External" /><Relationship Type="http://schemas.openxmlformats.org/officeDocument/2006/relationships/hyperlink" Id="rId164" Target="https://pages.nist.gov/OSCAL/" TargetMode="External" /><Relationship Type="http://schemas.openxmlformats.org/officeDocument/2006/relationships/hyperlink" Id="rId114" Target="https://trivy.dev/" TargetMode="External" /><Relationship Type="http://schemas.openxmlformats.org/officeDocument/2006/relationships/hyperlink" Id="rId105" Target="https://wazuh.com/" TargetMode="External" /><Relationship Type="http://schemas.openxmlformats.org/officeDocument/2006/relationships/hyperlink" Id="rId120" Target="https://www.defectdojo.org/" TargetMode="External" /><Relationship Type="http://schemas.openxmlformats.org/officeDocument/2006/relationships/hyperlink" Id="rId118" Target="https://www.keycloak.org/" TargetMode="External" /><Relationship Type="http://schemas.openxmlformats.org/officeDocument/2006/relationships/hyperlink" Id="rId107" Target="https://www.open-scap.org/" TargetMode="External" /><Relationship Type="http://schemas.openxmlformats.org/officeDocument/2006/relationships/hyperlink" Id="rId122" Target="https://www.openpolicyagent.org/" TargetMode="External" /><Relationship Type="http://schemas.openxmlformats.org/officeDocument/2006/relationships/hyperlink" Id="rId108" Target="https://www.osquery.io/" TargetMode="External" /><Relationship Type="http://schemas.openxmlformats.org/officeDocument/2006/relationships/hyperlink" Id="rId116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2026-07-28T18:04:06Z</dcterms:created>
  <dcterms:modified xsi:type="dcterms:W3CDTF">2026-07-28T18:04:06Z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