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/>
          <w:iCs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/>
          <w:bCs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/>
          <w:bCs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10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9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9"/>
    <w:bookmarkEnd w:id="10"/>
    <w:bookmarkStart w:id="11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11"/>
    <w:bookmarkStart w:id="13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/>
          <w:iCs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“media/image1.png”</w:t>
      </w:r>
      <w:r>
        <w:t xml:space="preserve"> </w:t>
      </w:r>
      <w:r>
        <w:t xml:space="preserve">estilo=</w:t>
      </w:r>
      <w:r>
        <w:t xml:space="preserve">“Ancho:6.15in; Altura:3.39605in”</w:t>
      </w:r>
      <w:r>
        <w:t xml:space="preserve"> </w:t>
      </w:r>
      <w:r>
        <w:t xml:space="preserve">alt=</w:t>
      </w:r>
      <w:r>
        <w:t xml:space="preserve">“Govern, Identificar y Proteger la preparación de soporte; Detectar, Responder y Recuperar incidentes de manija; las lecciones mejorar cada función.”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/>
          <w:bCs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pStyle w:val="Compact"/>
        <w:numPr>
          <w:ilvl w:val="0"/>
          <w:numId w:val="1002"/>
        </w:numPr>
      </w:pPr>
      <w:r>
        <w:t xml:space="preserve">Gobernanza, política y funciones</w:t>
      </w:r>
    </w:p>
    <w:p>
      <w:pPr>
        <w:pStyle w:val="FirstParagraph"/>
      </w:pPr>
      <w:r>
        <w:rPr>
          <w:i/>
          <w:iCs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12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12"/>
    <w:bookmarkEnd w:id="13"/>
    <w:bookmarkStart w:id="15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/>
          <w:iCs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“Estilo del anzuelo”</w:t>
      </w:r>
      <w:r>
        <w:t xml:space="preserve"> </w:t>
      </w:r>
      <w:r>
        <w:t xml:space="preserve">=</w:t>
      </w:r>
      <w:r>
        <w:t xml:space="preserve"> </w:t>
      </w:r>
      <w:r>
        <w:t xml:space="preserve">“Análisis”</w:t>
      </w:r>
      <w:r>
        <w:t xml:space="preserve"> </w:t>
      </w:r>
      <w:r>
        <w:t xml:space="preserve">= ancho:6.15in; altura:3.39605in” alt=</w:t>
      </w:r>
      <w:r>
        <w:t xml:space="preserve">“Analyze impactantes antes de elegir la tecnología o soluciones de continuidad.”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14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14"/>
    <w:bookmarkEnd w:id="15"/>
    <w:bookmarkStart w:id="17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/>
          <w:iCs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/>
          <w:bCs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16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16"/>
    <w:bookmarkEnd w:id="17"/>
    <w:bookmarkStart w:id="20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/>
          <w:iCs/>
        </w:rPr>
        <w:t xml:space="preserve">La preparación reduce la confusión, los fallos de acceso, la pérdida de evidencia y la improvisación peligrosa.</w:t>
      </w:r>
    </w:p>
    <w:bookmarkStart w:id="18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18"/>
    <w:bookmarkStart w:id="19" w:name="playbook-design"/>
    <w:p>
      <w:pPr>
        <w:pStyle w:val="Heading2"/>
      </w:pPr>
      <w:r>
        <w:t xml:space="preserve">5.2 Playbook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19"/>
    <w:bookmarkEnd w:id="20"/>
    <w:bookmarkStart w:id="23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/>
          <w:iCs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“La señal se convierte en un incidente sólo después de la validación y clasificación bajo criterios aprobados”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21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21"/>
    <w:bookmarkStart w:id="22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22"/>
    <w:bookmarkEnd w:id="23"/>
    <w:bookmarkStart w:id="28" w:name="triage-severity-and-escalation"/>
    <w:p>
      <w:pPr>
        <w:pStyle w:val="Heading1"/>
      </w:pPr>
      <w:r>
        <w:t xml:space="preserve">7. Triage, Severity, and Escalation</w:t>
      </w:r>
    </w:p>
    <w:p>
      <w:pPr>
        <w:pStyle w:val="Compact"/>
        <w:numPr>
          <w:ilvl w:val="0"/>
          <w:numId w:val="1009"/>
        </w:numPr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24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pStyle w:val="Compact"/>
        <w:numPr>
          <w:ilvl w:val="0"/>
          <w:numId w:val="1011"/>
        </w:numPr>
      </w:pPr>
      <w:r>
        <w:t xml:space="preserve">Investigación y exploración</w:t>
      </w:r>
    </w:p>
    <w:p>
      <w:pPr>
        <w:pStyle w:val="FirstParagraph"/>
      </w:pPr>
      <w:r>
        <w:rPr>
          <w:i/>
          <w:iCs/>
        </w:rPr>
        <w:t xml:space="preserve">La investigación construye y prueba explicaciones mientras el ambiente y el atacante pueden estar cambiando.</w:t>
      </w:r>
    </w:p>
    <w:bookmarkEnd w:id="24"/>
    <w:bookmarkStart w:id="25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/>
          <w:bCs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pStyle w:val="Compact"/>
        <w:numPr>
          <w:ilvl w:val="0"/>
          <w:numId w:val="1013"/>
        </w:numPr>
      </w:pPr>
      <w:r>
        <w:t xml:space="preserve">Estrategia de Contención</w:t>
      </w:r>
    </w:p>
    <w:p>
      <w:pPr>
        <w:pStyle w:val="FirstParagraph"/>
      </w:pPr>
      <w:r>
        <w:rPr>
          <w:i/>
          <w:iCs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“Escoge las acciones a través de objetivos explícitos, impactos, autoridad y verificación.”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25"/>
    <w:bookmarkStart w:id="26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26"/>
    <w:bookmarkStart w:id="27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27"/>
    <w:bookmarkEnd w:id="28"/>
    <w:bookmarkStart w:id="30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/>
          <w:iCs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29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29"/>
    <w:bookmarkEnd w:id="30"/>
    <w:bookmarkStart w:id="33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/>
          <w:iCs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“media/image5.png”</w:t>
      </w:r>
      <w:r>
        <w:t xml:space="preserve"> </w:t>
      </w:r>
      <w:r>
        <w:t xml:space="preserve">style=</w:t>
      </w:r>
      <w:r>
        <w:t xml:space="preserve">“width:6.15in;height:3.39605in”</w:t>
      </w:r>
      <w:r>
        <w:t xml:space="preserve"> </w:t>
      </w:r>
      <w:r>
        <w:t xml:space="preserve">alt=</w:t>
      </w:r>
      <w:r>
        <w:t xml:space="preserve">“La validación de la seguridad y la aceptación del negocio pertenecen dentro de la recuperación”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31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31"/>
    <w:bookmarkStart w:id="32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32"/>
    <w:bookmarkEnd w:id="33"/>
    <w:bookmarkStart w:id="36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/>
          <w:iCs/>
        </w:rPr>
        <w:t xml:space="preserve">La mejora convierte la experiencia en sistemas más seguros y mejores decisiones.</w:t>
      </w:r>
    </w:p>
    <w:bookmarkStart w:id="34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pStyle w:val="Compact"/>
        <w:numPr>
          <w:ilvl w:val="0"/>
          <w:numId w:val="1020"/>
        </w:numPr>
      </w:pPr>
      <w:r>
        <w:t xml:space="preserve">Coordinación de las comunicaciones, jurídicas y reglamentarias</w:t>
      </w:r>
    </w:p>
    <w:p>
      <w:pPr>
        <w:pStyle w:val="Compact"/>
        <w:numPr>
          <w:ilvl w:val="0"/>
          <w:numId w:val="1021"/>
        </w:numPr>
      </w:pPr>
      <w:r>
        <w:t xml:space="preserve">La comunicación debe ser precisa, oportuna, autorizada, específica para el público y protegida.*</w:t>
      </w:r>
    </w:p>
    <w:bookmarkEnd w:id="34"/>
    <w:bookmarkStart w:id="35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/>
          <w:bCs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35"/>
    <w:bookmarkEnd w:id="36"/>
    <w:bookmarkStart w:id="38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/>
          <w:iCs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“media/image6.png”</w:t>
      </w:r>
      <w:r>
        <w:t xml:space="preserve"> </w:t>
      </w:r>
      <w:r>
        <w:t xml:space="preserve">estilo=</w:t>
      </w:r>
      <w:r>
        <w:t xml:space="preserve">“Ancho:6.15in; Altura:3.39605in”</w:t>
      </w:r>
      <w:r>
        <w:t xml:space="preserve"> </w:t>
      </w:r>
      <w:r>
        <w:t xml:space="preserve">alt=</w:t>
      </w:r>
      <w:r>
        <w:t xml:space="preserve">“Identidad documental, preservación, integridad, custodia, análisis y límites.”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37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37"/>
    <w:bookmarkEnd w:id="38"/>
    <w:bookmarkStart w:id="40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/>
          <w:iCs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39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39"/>
    <w:bookmarkEnd w:id="40"/>
    <w:bookmarkStart w:id="42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/>
          <w:iCs/>
        </w:rPr>
        <w:t xml:space="preserve">La respuesta en voz alta depende de la telemetría de proveedores, responsabilidad compartida, control de inquilinos y acceso de soporte.</w:t>
      </w:r>
    </w:p>
    <w:bookmarkStart w:id="41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41"/>
    <w:bookmarkEnd w:id="42"/>
    <w:bookmarkStart w:id="45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/>
          <w:iCs/>
        </w:rPr>
        <w:t xml:space="preserve">El compromiso de la identidad puede cruzar puntos finales, servicios en la nube, proveedores y canales de recuperación.</w:t>
      </w:r>
    </w:p>
    <w:bookmarkStart w:id="43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43"/>
    <w:bookmarkStart w:id="44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44"/>
    <w:bookmarkEnd w:id="45"/>
    <w:bookmarkStart w:id="48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/>
          <w:iCs/>
        </w:rPr>
        <w:t xml:space="preserve">Un incidente del proveedor requiere hechos compartidos, responsabilidades, relojes de notificación y decisiones de recuperación.</w:t>
      </w:r>
    </w:p>
    <w:bookmarkStart w:id="46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46"/>
    <w:bookmarkStart w:id="47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pStyle w:val="Compact"/>
        <w:numPr>
          <w:ilvl w:val="0"/>
          <w:numId w:val="1032"/>
        </w:numPr>
      </w:pPr>
      <w:r>
        <w:t xml:space="preserve">Sistema de Gestión de la Continuidad Empresarial</w:t>
      </w:r>
    </w:p>
    <w:p>
      <w:pPr>
        <w:pStyle w:val="FirstParagraph"/>
      </w:pPr>
      <w:r>
        <w:rPr>
          <w:i/>
          <w:iCs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“Contexto, liderazgo, planificación, apoyo, operación, evaluación y trabajo de mejora como ciclo”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/>
          <w:bCs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/>
          <w:bCs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47"/>
    <w:bookmarkEnd w:id="48"/>
    <w:bookmarkStart w:id="50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/>
          <w:iCs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49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49"/>
    <w:bookmarkEnd w:id="50"/>
    <w:bookmarkStart w:id="53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/>
          <w:iCs/>
        </w:rPr>
        <w:t xml:space="preserve">Un plan de recuperación de desastres restaura la tecnología en orden de prioridad empresarial</w:t>
      </w:r>
      <w:r>
        <w:t xml:space="preserve">.</w:t>
      </w:r>
    </w:p>
    <w:bookmarkStart w:id="51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51"/>
    <w:bookmarkStart w:id="52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52"/>
    <w:bookmarkEnd w:id="53"/>
    <w:bookmarkStart w:id="56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/>
          <w:iCs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“El éxito de la copia no es prueba de recuperación; test de servicios completos e integridad de datos.”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54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54"/>
    <w:bookmarkStart w:id="55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55"/>
    <w:bookmarkEnd w:id="56"/>
    <w:bookmarkStart w:id="58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/>
          <w:iCs/>
        </w:rPr>
        <w:t xml:space="preserve">La gestión de la crisis coordina decisiones de alto impacto cuando la información es incompleta y importa el tiempo.</w:t>
      </w:r>
    </w:p>
    <w:bookmarkStart w:id="57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/>
          <w:bCs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57"/>
    <w:bookmarkEnd w:id="58"/>
    <w:bookmarkStart w:id="60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/>
          <w:iCs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“media/image9.png”</w:t>
      </w:r>
      <w:r>
        <w:t xml:space="preserve"> </w:t>
      </w:r>
      <w:r>
        <w:t xml:space="preserve">style=</w:t>
      </w:r>
      <w:r>
        <w:t xml:space="preserve">“width:6.15in;height:3.39605in”</w:t>
      </w:r>
      <w:r>
        <w:t xml:space="preserve"> </w:t>
      </w:r>
      <w:r>
        <w:t xml:space="preserve">alt=</w:t>
      </w:r>
      <w:r>
        <w:t xml:space="preserve">“Definir objetivos y capturar evidencia observable antes de asignar acción correctiva”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59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59"/>
    <w:bookmarkEnd w:id="60"/>
    <w:bookmarkStart w:id="62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/>
          <w:iCs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/>
          <w:bCs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61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61"/>
    <w:bookmarkEnd w:id="62"/>
    <w:bookmarkStart w:id="63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/>
          <w:iCs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63"/>
    <w:bookmarkStart w:id="93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/>
          <w:bCs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65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6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65"/>
    <w:bookmarkStart w:id="67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6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67"/>
    <w:bookmarkStart w:id="68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68"/>
    <w:bookmarkStart w:id="70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69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0"/>
    <w:bookmarkStart w:id="72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71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2"/>
    <w:bookmarkStart w:id="74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73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4"/>
    <w:bookmarkStart w:id="76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0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0"/>
    <w:bookmarkStart w:id="82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81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2"/>
    <w:bookmarkStart w:id="83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4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4"/>
    <w:bookmarkStart w:id="85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6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6"/>
    <w:bookmarkStart w:id="88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8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8"/>
    <w:bookmarkStart w:id="90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89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2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91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2"/>
    <w:bookmarkEnd w:id="93"/>
    <w:bookmarkStart w:id="95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/>
          <w:iCs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/>
          <w:bCs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94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94"/>
    <w:bookmarkEnd w:id="95"/>
    <w:bookmarkStart w:id="99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/>
          <w:iCs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“media/image10.png”</w:t>
      </w:r>
      <w:r>
        <w:t xml:space="preserve"> </w:t>
      </w:r>
      <w:r>
        <w:t xml:space="preserve">style=</w:t>
      </w:r>
      <w:r>
        <w:t xml:space="preserve">“width:6.15in;height:3.39605in”</w:t>
      </w:r>
      <w:r>
        <w:t xml:space="preserve"> </w:t>
      </w:r>
      <w:r>
        <w:t xml:space="preserve">alt=</w:t>
      </w:r>
      <w:r>
        <w:t xml:space="preserve">“Build safe practice from frameworks to evidence, cases, workpapers, and interview stories.”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96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96"/>
    <w:bookmarkStart w:id="97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97"/>
    <w:bookmarkStart w:id="98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98"/>
    <w:bookmarkEnd w:id="99"/>
    <w:bookmarkStart w:id="109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/>
          <w:iCs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00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00"/>
    <w:bookmarkStart w:id="101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01"/>
    <w:bookmarkStart w:id="102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02"/>
    <w:bookmarkStart w:id="103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03"/>
    <w:bookmarkStart w:id="104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04"/>
    <w:bookmarkStart w:id="105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05"/>
    <w:bookmarkStart w:id="106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06"/>
    <w:bookmarkStart w:id="107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07"/>
    <w:bookmarkStart w:id="108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08"/>
    <w:bookmarkEnd w:id="109"/>
    <w:bookmarkStart w:id="118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pStyle w:val="Compact"/>
        <w:numPr>
          <w:ilvl w:val="0"/>
          <w:numId w:val="1046"/>
        </w:numPr>
      </w:pPr>
      <w:r>
        <w:t xml:space="preserve">Estructuras de trabajo reutilizables, términos clave, índice de sujeto y fuentes oficiales*.</w:t>
      </w:r>
    </w:p>
    <w:bookmarkStart w:id="110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“Principio/comandante/severidad”</w:t>
      </w:r>
      <w:r>
        <w:t xml:space="preserve"> </w:t>
      </w:r>
      <w:r>
        <w:t xml:space="preserve">“Prigger”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“Datos/asunciones/hipotheses”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“Afectados y potenciales alcances”</w:t>
      </w:r>
      <w:r>
        <w:t xml:space="preserve"> </w:t>
      </w:r>
      <w:r>
        <w:t xml:space="preserve">“La vida empresarial/data/seguridad”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“Primeros objetivos/decisiones/actions”</w:t>
      </w:r>
      <w:r>
        <w:t xml:space="preserve"> </w:t>
      </w:r>
      <w:r>
        <w:t xml:space="preserve">“Contenimiento/eradicación en la vida”</w:t>
      </w:r>
      <w:r>
        <w:t xml:space="preserve"> </w:t>
      </w:r>
      <w:r>
        <w:t xml:space="preserve">“La recuperación/validación/acceptancia de la vida”</w:t>
      </w:r>
      <w:r>
        <w:t xml:space="preserve"> </w:t>
      </w:r>
      <w:r>
        <w:t xml:space="preserve">“La comunicación/obligaciones en la vida”</w:t>
      </w:r>
      <w:r>
        <w:t xml:space="preserve"> </w:t>
      </w:r>
      <w:r>
        <w:t xml:space="preserve">Lecciones/acción/retestigos sobre la vida</w:t>
      </w:r>
    </w:p>
    <w:bookmarkEnd w:id="110"/>
    <w:bookmarkStart w:id="111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“Personas/facilidad/tecnología”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“La Activación/comunicación en la vida”</w:t>
      </w:r>
      <w:r>
        <w:t xml:space="preserve"> </w:t>
      </w:r>
      <w:r>
        <w:t xml:space="preserve">“Vuelva/reconciliación”</w:t>
      </w:r>
      <w:r>
        <w:t xml:space="preserve"> </w:t>
      </w:r>
      <w:r>
        <w:t xml:space="preserve">Test/result/improvementar la vida</w:t>
      </w:r>
    </w:p>
    <w:bookmarkEnd w:id="111"/>
    <w:bookmarkStart w:id="112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“Transferencia de/a/a propósito”</w:t>
      </w:r>
      <w:r>
        <w:t xml:space="preserve"> </w:t>
      </w:r>
      <w:r>
        <w:t xml:space="preserve">“Análisis/resulto/limitaciones”</w:t>
      </w:r>
      <w:r>
        <w:t xml:space="preserve"> </w:t>
      </w:r>
      <w:r>
        <w:t xml:space="preserve">“Retención de la vida”</w:t>
      </w:r>
      <w:r>
        <w:t xml:space="preserve"> </w:t>
      </w:r>
      <w:r>
        <w:t xml:space="preserve">Repaso/disposición de la vida                   </w:t>
      </w:r>
    </w:p>
    <w:bookmarkEnd w:id="112"/>
    <w:bookmarkStart w:id="113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“Scenario/asunciones/seguridad”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“Strengths/gaps/evidencia”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“Actuación/propietario/ fecha límite”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13"/>
    <w:bookmarkStart w:id="114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14"/>
    <w:bookmarkStart w:id="115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15"/>
    <w:bookmarkStart w:id="117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16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/>
          <w:bCs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https://docs.velociraptor.app/" TargetMode="External" /><Relationship Type="http://schemas.openxmlformats.org/officeDocument/2006/relationships/hyperlink" Id="rId66" Target="https://github.com/TheHive-Project/Cortex" TargetMode="External" /><Relationship Type="http://schemas.openxmlformats.org/officeDocument/2006/relationships/hyperlink" Id="rId87" Target="https://grr-doc.readthedocs.io/" TargetMode="External" /><Relationship Type="http://schemas.openxmlformats.org/officeDocument/2006/relationships/hyperlink" Id="rId91" Target="https://opensearch.org/" TargetMode="External" /><Relationship Type="http://schemas.openxmlformats.org/officeDocument/2006/relationships/hyperlink" Id="rId89" Target="https://shuffler.io/" TargetMode="External" /><Relationship Type="http://schemas.openxmlformats.org/officeDocument/2006/relationships/hyperlink" Id="rId64" Target="https://thehive-project.org/" TargetMode="External" /><Relationship Type="http://schemas.openxmlformats.org/officeDocument/2006/relationships/hyperlink" Id="rId77" Target="https://timesketch.org/" TargetMode="External" /><Relationship Type="http://schemas.openxmlformats.org/officeDocument/2006/relationships/hyperlink" Id="rId73" Target="https://volatility3.readthedocs.io/" TargetMode="External" /><Relationship Type="http://schemas.openxmlformats.org/officeDocument/2006/relationships/hyperlink" Id="rId69" Target="https://wazuh.com/" TargetMode="External" /><Relationship Type="http://schemas.openxmlformats.org/officeDocument/2006/relationships/hyperlink" Id="rId75" Target="https://www.autopsy.com/" TargetMode="External" /><Relationship Type="http://schemas.openxmlformats.org/officeDocument/2006/relationships/hyperlink" Id="rId116" Target="https://www.nist.gov/cyberframework" TargetMode="External" /><Relationship Type="http://schemas.openxmlformats.org/officeDocument/2006/relationships/hyperlink" Id="rId81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cs.velociraptor.app/" TargetMode="External" /><Relationship Type="http://schemas.openxmlformats.org/officeDocument/2006/relationships/hyperlink" Id="rId66" Target="https://github.com/TheHive-Project/Cortex" TargetMode="External" /><Relationship Type="http://schemas.openxmlformats.org/officeDocument/2006/relationships/hyperlink" Id="rId87" Target="https://grr-doc.readthedocs.io/" TargetMode="External" /><Relationship Type="http://schemas.openxmlformats.org/officeDocument/2006/relationships/hyperlink" Id="rId91" Target="https://opensearch.org/" TargetMode="External" /><Relationship Type="http://schemas.openxmlformats.org/officeDocument/2006/relationships/hyperlink" Id="rId89" Target="https://shuffler.io/" TargetMode="External" /><Relationship Type="http://schemas.openxmlformats.org/officeDocument/2006/relationships/hyperlink" Id="rId64" Target="https://thehive-project.org/" TargetMode="External" /><Relationship Type="http://schemas.openxmlformats.org/officeDocument/2006/relationships/hyperlink" Id="rId77" Target="https://timesketch.org/" TargetMode="External" /><Relationship Type="http://schemas.openxmlformats.org/officeDocument/2006/relationships/hyperlink" Id="rId73" Target="https://volatility3.readthedocs.io/" TargetMode="External" /><Relationship Type="http://schemas.openxmlformats.org/officeDocument/2006/relationships/hyperlink" Id="rId69" Target="https://wazuh.com/" TargetMode="External" /><Relationship Type="http://schemas.openxmlformats.org/officeDocument/2006/relationships/hyperlink" Id="rId75" Target="https://www.autopsy.com/" TargetMode="External" /><Relationship Type="http://schemas.openxmlformats.org/officeDocument/2006/relationships/hyperlink" Id="rId116" Target="https://www.nist.gov/cyberframework" TargetMode="External" /><Relationship Type="http://schemas.openxmlformats.org/officeDocument/2006/relationships/hyperlink" Id="rId81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2026-07-28T18:04:12Z</dcterms:created>
  <dcterms:modified xsi:type="dcterms:W3CDTF">2026-07-28T18:04:12Z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