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
          <w:bCs/>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9" w:name="theird-party-risk-management"/>
    <w:p>
      <w:pPr>
        <w:pStyle w:val="Heading1"/>
      </w:pPr>
      <w:r>
        <w:t xml:space="preserve">THEIRD-PARTY RISK MANAGEMENT</w:t>
      </w:r>
    </w:p>
    <w:bookmarkEnd w:id="9"/>
    <w:bookmarkStart w:id="10"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
          <w:bCs/>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w:t>
      </w:r>
      <w:r>
        <w:t xml:space="preserve"> </w:t>
      </w:r>
      <w:r>
        <w:t xml:space="preserve">|. |</w:t>
      </w:r>
    </w:p>
    <w:p>
      <w:pPr>
        <w:pStyle w:val="BodyText"/>
      </w:pPr>
      <w:r>
        <w:rPr>
          <w:b/>
          <w:bCs/>
        </w:rPr>
        <w:t xml:space="preserve">Alberto (Al) Leiva</w:t>
      </w:r>
    </w:p>
    <w:p>
      <w:pPr>
        <w:pStyle w:val="BodyText"/>
      </w:pPr>
      <w:r>
        <w:t xml:space="preserve">Primera edición • Julio 2026</w:t>
      </w:r>
    </w:p>
    <w:bookmarkEnd w:id="10"/>
    <w:bookmarkStart w:id="12"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 Nota de información actual** El manual refleja el material oficial comprobado el 14 de julio de 2026, incluyendo NIST SP 1326 (final julio 8, 2026), NIST SP 800-18 Rev. 2 (final junio 30, 2026), NIST SP 800-161 Rev. 1 Update 1, NIST SP 1305, y ZXPROTECTED4X 2.0Z ZX |</w:t>
      </w:r>
    </w:p>
    <w:p>
      <w:pPr>
        <w:pStyle w:val="BodyText"/>
      </w:pPr>
      <w:r>
        <w:t xml:space="preserve">|. |</w:t>
      </w:r>
    </w:p>
    <w:bookmarkStart w:id="11"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11"/>
    <w:bookmarkEnd w:id="12"/>
    <w:bookmarkStart w:id="13"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Evidence Review and Trust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Testing and Metrics Evidence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Libro TPRM de Manager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13"/>
    <w:bookmarkStart w:id="17" w:name="tprm-and-cyber-supply-chain-foundations"/>
    <w:p>
      <w:pPr>
        <w:pStyle w:val="Heading1"/>
      </w:pPr>
      <w:r>
        <w:t xml:space="preserve">1. TPRM and Cyber Supply Chain Foundations</w:t>
      </w:r>
    </w:p>
    <w:p>
      <w:pPr>
        <w:pStyle w:val="FirstParagraph"/>
      </w:pPr>
      <w:r>
        <w:rPr>
          <w:i/>
          <w:iCs/>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14"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14"/>
    <w:bookmarkStart w:id="15" w:name="importantes-límites"/>
    <w:p>
      <w:pPr>
        <w:pStyle w:val="Heading2"/>
      </w:pPr>
      <w:r>
        <w:t xml:space="preserve">1.2 Importantes límites</w:t>
      </w:r>
    </w:p>
    <w:p>
      <w:pPr>
        <w:pStyle w:val="FirstParagraph"/>
      </w:pPr>
      <w:r>
        <w:rPr>
          <w:b/>
          <w:bCs/>
        </w:rPr>
        <w:t xml:space="preserve">Item</w:t>
      </w:r>
      <w:r>
        <w:t xml:space="preserve"> </w:t>
      </w:r>
      <w:r>
        <w:t xml:space="preserve">|</w:t>
      </w:r>
      <w:r>
        <w:t xml:space="preserve"> </w:t>
      </w:r>
      <w:r>
        <w:rPr>
          <w:b/>
          <w:bCs/>
        </w:rPr>
        <w:t xml:space="preserve">Lo que no prueba</w:t>
      </w:r>
      <w:r>
        <w:t xml:space="preserve"> </w:t>
      </w:r>
      <w:r>
        <w:t xml:space="preserve">|. |</w:t>
      </w:r>
      <w:r>
        <w:t xml:space="preserve"> </w:t>
      </w:r>
      <w:r>
        <w:t xml:space="preserve">| Cuestionario | Una afirmación del proveedor no es una prueba independiente.</w:t>
      </w:r>
      <w:r>
        <w:t xml:space="preserve"> </w:t>
      </w:r>
      <w:r>
        <w:t xml:space="preserve">Silencioso informe SOC 2 Cubre sistemas, criterios, periodo, pruebas y limitaciones, no todos los riesgos.</w:t>
      </w:r>
      <w:r>
        <w:t xml:space="preserve"> </w:t>
      </w:r>
      <w:r>
        <w:t xml:space="preserve">| ISO certificado Se aplica sólo al alcance certificado y los detalles del certificado actual. |</w:t>
      </w:r>
      <w:r>
        <w:t xml:space="preserve"> </w:t>
      </w:r>
      <w:r>
        <w:t xml:space="preserve">Nota de seguridad | Las señales externas pueden ser útiles pero pueden ser incompletas, estancadas o mal atribuidas. |</w:t>
      </w:r>
      <w:r>
        <w:t xml:space="preserve"> </w:t>
      </w:r>
      <w:r>
        <w:t xml:space="preserve">Contrato permanente Una promesa no muestra que un control funciona. |</w:t>
      </w:r>
      <w:r>
        <w:t xml:space="preserve"> </w:t>
      </w:r>
      <w:r>
        <w:t xml:space="preserve">← Herramienta resultado | Automatización es compatible con las pruebas; no toma la decisión del negocio. |</w:t>
      </w:r>
    </w:p>
    <w:p>
      <w:pPr>
        <w:pStyle w:val="BodyText"/>
      </w:pPr>
      <w:r>
        <w:rPr>
          <w:b/>
          <w:bCs/>
        </w:rPr>
        <w:t xml:space="preserve">Principio del contrato:</w:t>
      </w:r>
      <w:r>
        <w:t xml:space="preserve"> </w:t>
      </w:r>
      <w:r>
        <w:t xml:space="preserve">Proporcione la actividad, no la responsabilidad. El propietario del negocio sigue siendo responsable de entender y gestionar el impacto. |</w:t>
      </w:r>
    </w:p>
    <w:p>
      <w:pPr>
        <w:pStyle w:val="BodyText"/>
      </w:pPr>
      <w:r>
        <w:t xml:space="preserve">|. |</w:t>
      </w:r>
    </w:p>
    <w:p>
      <w:pPr>
        <w:pStyle w:val="Compact"/>
        <w:numPr>
          <w:ilvl w:val="0"/>
          <w:numId w:val="1002"/>
        </w:numPr>
      </w:pPr>
      <w:r>
        <w:t xml:space="preserve">El Ciclo de Vida de Terceros</w:t>
      </w:r>
    </w:p>
    <w:p>
      <w:pPr>
        <w:pStyle w:val="FirstParagraph"/>
      </w:pPr>
      <w:r>
        <w:rPr>
          <w:i/>
          <w:iCs/>
        </w:rPr>
        <w:t xml:space="preserve">Un proceso de ciclo de vida evita que la evaluación se convierta en un cuestionario único</w:t>
      </w:r>
      <w:r>
        <w:t xml:space="preserve">.</w:t>
      </w:r>
    </w:p>
    <w:p>
      <w:pPr>
        <w:pStyle w:val="BodyText"/>
      </w:pPr>
      <w:r>
        <w:t xml:space="preserve">■img src=</w:t>
      </w:r>
      <w:r>
        <w:t xml:space="preserve">“media/image1.png”</w:t>
      </w:r>
      <w:r>
        <w:t xml:space="preserve"> </w:t>
      </w:r>
      <w:r>
        <w:t xml:space="preserve">style=</w:t>
      </w:r>
      <w:r>
        <w:t xml:space="preserve">“width:6.15in;height:3.39605in”</w:t>
      </w:r>
      <w:r>
        <w:t xml:space="preserve"> </w:t>
      </w:r>
      <w:r>
        <w:t xml:space="preserve">alt=</w:t>
      </w:r>
      <w:r>
        <w:t xml:space="preserve">“El mismo registro debe seguir al proveedor de la solicitud de negocio a través de salida segura.”</w:t>
      </w:r>
      <w:r>
        <w:t xml:space="preserve"> </w:t>
      </w:r>
      <w:r>
        <w:t xml:space="preserve">/</w:t>
      </w:r>
    </w:p>
    <w:p>
      <w:pPr>
        <w:pStyle w:val="BodyText"/>
      </w:pPr>
      <w:r>
        <w:t xml:space="preserve">Figura 1. Ciclo de vida de riesgo de terceros</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Stage</w:t>
            </w:r>
          </w:p>
        </w:tc>
      </w:tr>
      <w:tr>
        <w:tc>
          <w:tcPr/>
          <w:p>
            <w:pPr>
              <w:pStyle w:val="Compact"/>
            </w:pPr>
            <w:r>
              <w:t xml:space="preserve">TENCIÓN ANTERIOR ¿Hay una necesidad válida y un propietario responsable?</w:t>
            </w:r>
          </w:p>
        </w:tc>
      </w:tr>
    </w:tbl>
    <w:p>
      <w:pPr>
        <w:pStyle w:val="BodyText"/>
      </w:pPr>
      <w:r>
        <w:t xml:space="preserve">¿Cuánto daño podría causar el fracaso? ← Datos, acceso, dependencia, disponibilidad, geografía</w:t>
      </w:r>
      <w:r>
        <w:t xml:space="preserve"> </w:t>
      </w:r>
      <w:r>
        <w:t xml:space="preserve">| ¿Es aceptable el riesgo residual? Ø Investigación, pruebas, pruebas, hallazgos, tratamiento |</w:t>
      </w:r>
      <w:r>
        <w:t xml:space="preserve"> </w:t>
      </w:r>
      <w:r>
        <w:t xml:space="preserve">¿Son las obligaciones ejecutables? ← Condiciones de seguridad/privacy/resilience firmadas</w:t>
      </w:r>
      <w:r>
        <w:t xml:space="preserve"> </w:t>
      </w:r>
      <w:r>
        <w:t xml:space="preserve">| a bordo ¿El acceso es limitado y aprobado? Configuración, cuenta, flujo de datos, registros de aceptación |</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pStyle w:val="Compact"/>
        <w:numPr>
          <w:ilvl w:val="0"/>
          <w:numId w:val="1003"/>
        </w:numPr>
      </w:pPr>
      <w:r>
        <w:t xml:space="preserve">Gobernanza, estrategia y competencia de riesgo</w:t>
      </w:r>
    </w:p>
    <w:p>
      <w:pPr>
        <w:pStyle w:val="FirstParagraph"/>
      </w:pPr>
      <w:r>
        <w:rPr>
          <w:i/>
          <w:iCs/>
        </w:rPr>
        <w:t xml:space="preserve">Governance establece derechos de decisión, límites de riesgo, financiación y escalada</w:t>
      </w:r>
      <w:r>
        <w:t xml:space="preserve">.</w:t>
      </w:r>
    </w:p>
    <w:bookmarkEnd w:id="15"/>
    <w:bookmarkStart w:id="16"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rPr>
          <w:b/>
          <w:bCs/>
        </w:rPr>
        <w:t xml:space="preserve">Rol</w:t>
      </w:r>
      <w:r>
        <w:t xml:space="preserve"> </w:t>
      </w:r>
      <w:r>
        <w:t xml:space="preserve">|</w:t>
      </w:r>
    </w:p>
    <w:p>
      <w:pPr>
        <w:pStyle w:val="BodyText"/>
      </w:pPr>
      <w:r>
        <w:t xml:space="preserve">|. |</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 Método, diligencia debida, análisis técnico, monitoreo, hallazgos |</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 Información precisa, controles contratados, aviso, corrección, cooperación</w:t>
      </w:r>
    </w:p>
    <w:p>
      <w:pPr>
        <w:pStyle w:val="BodyText"/>
      </w:pPr>
      <w:r>
        <w:t xml:space="preserve">** Decisión mayor:** Defina quién puede aceptar qué nivel de riesgo residual. Un propietario de riesgos debe tener autoridad, contexto y rendición de cuentas, no sólo una firma conveniente. |</w:t>
      </w:r>
    </w:p>
    <w:p>
      <w:pPr>
        <w:pStyle w:val="BodyText"/>
      </w:pPr>
      <w:r>
        <w:t xml:space="preserve">|. |</w:t>
      </w:r>
    </w:p>
    <w:bookmarkEnd w:id="16"/>
    <w:bookmarkEnd w:id="17"/>
    <w:bookmarkStart w:id="22" w:name="inventario-clasificación-y-tiering"/>
    <w:p>
      <w:pPr>
        <w:pStyle w:val="Heading1"/>
      </w:pPr>
      <w:r>
        <w:t xml:space="preserve">4. Inventario, Clasificación y Tiering</w:t>
      </w:r>
    </w:p>
    <w:p>
      <w:pPr>
        <w:pStyle w:val="FirstParagraph"/>
      </w:pPr>
      <w:r>
        <w:rPr>
          <w:i/>
          <w:iCs/>
        </w:rPr>
        <w:t xml:space="preserve">Conocer cada proveedor y escala de trabajo para dañar probablemente.</w:t>
      </w:r>
    </w:p>
    <w:p>
      <w:pPr>
        <w:pStyle w:val="BodyText"/>
      </w:pPr>
      <w:r>
        <w:t xml:space="preserve">■img src=</w:t>
      </w:r>
      <w:r>
        <w:t xml:space="preserve">“media/image2.png”</w:t>
      </w:r>
      <w:r>
        <w:t xml:space="preserve"> </w:t>
      </w:r>
      <w:r>
        <w:t xml:space="preserve">estilo=</w:t>
      </w:r>
      <w:r>
        <w:t xml:space="preserve">“Ancho:6.15in; Altura:4.02397in”</w:t>
      </w:r>
      <w:r>
        <w:t xml:space="preserve"> </w:t>
      </w:r>
      <w:r>
        <w:t xml:space="preserve">alt=</w:t>
      </w:r>
      <w:r>
        <w:t xml:space="preserve">“Utilizar los factores documentados y permitir la escalada cuando un factor es especialmente grave”</w:t>
      </w:r>
      <w:r>
        <w:t xml:space="preserve">.</w:t>
      </w:r>
    </w:p>
    <w:p>
      <w:pPr>
        <w:pStyle w:val="BodyText"/>
      </w:pPr>
      <w:r>
        <w:t xml:space="preserve">Figura 2. Ejemplo de fichas de proveedores</w:t>
      </w:r>
    </w:p>
    <w:bookmarkStart w:id="18"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18"/>
    <w:bookmarkStart w:id="19" w:name="factores-de-inclinación"/>
    <w:p>
      <w:pPr>
        <w:pStyle w:val="Heading2"/>
      </w:pPr>
      <w:r>
        <w:t xml:space="preserve">4.2 Factores de inclinación</w:t>
      </w:r>
    </w:p>
    <w:tbl>
      <w:tblPr>
        <w:tblStyle w:val="Table"/>
        <w:tblW w:type="auto" w:w="0"/>
        <w:tblLook w:firstRow="1" w:lastRow="0" w:firstColumn="0" w:lastColumn="0" w:noHBand="0" w:noVBand="0" w:val="0020"/>
      </w:tblPr>
      <w:tblGrid>
        <w:gridCol w:w="7920"/>
      </w:tblGrid>
      <w:tr>
        <w:trPr>
          <w:tblHeader w:val="on"/>
        </w:trPr>
        <w:tc>
          <w:tcPr/>
          <w:p>
            <w:pPr>
              <w:pStyle w:val="Compact"/>
            </w:pPr>
            <w:r>
              <w:rPr>
                <w:b/>
                <w:bCs/>
              </w:rPr>
              <w:t xml:space="preserve">Factor</w:t>
            </w:r>
          </w:p>
        </w:tc>
      </w:tr>
    </w:tbl>
    <w:p>
      <w:pPr>
        <w:pStyle w:val="BodyText"/>
      </w:pPr>
      <w:r>
        <w:t xml:space="preserve">TENER Datos TENIENTES Personal sensible, salud, pago, secretos o información regulada</w:t>
      </w:r>
      <w:r>
        <w:t xml:space="preserve"> </w:t>
      </w:r>
      <w:r>
        <w:t xml:space="preserve">| Acceso | Privilegiado, producción, remota, persistente o amplia API acceso ANTE</w:t>
      </w:r>
      <w:r>
        <w:t xml:space="preserve"> </w:t>
      </w:r>
      <w:r>
        <w:t xml:space="preserve">TEN Disponibilidad | Failure detiene un producto crítico, operación o servicio al cliente |</w:t>
      </w:r>
      <w:r>
        <w:t xml:space="preserve"> </w:t>
      </w:r>
      <w:r>
        <w:t xml:space="preserve">| Cambio |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 Reach | Proveedor sirve muchos sistemas críticos, regiones, clientes o subsidiarias |</w:t>
      </w:r>
      <w:r>
        <w:t xml:space="preserve"> </w:t>
      </w:r>
      <w:r>
        <w:t xml:space="preserve">← Incorporación de materiales, subprocesador, nube, identidad, modelo o dependencia de software</w:t>
      </w:r>
    </w:p>
    <w:p>
      <w:pPr>
        <w:pStyle w:val="Compact"/>
        <w:numPr>
          <w:ilvl w:val="0"/>
          <w:numId w:val="1006"/>
        </w:numPr>
      </w:pPr>
      <w:r>
        <w:t xml:space="preserve">Ingestión y Riesgo Inherente</w:t>
      </w:r>
    </w:p>
    <w:p>
      <w:pPr>
        <w:pStyle w:val="FirstParagraph"/>
      </w:pPr>
      <w:r>
        <w:rPr>
          <w:i/>
          <w:iCs/>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pStyle w:val="Compact"/>
        <w:numPr>
          <w:ilvl w:val="0"/>
          <w:numId w:val="1008"/>
        </w:numPr>
      </w:pPr>
      <w:r>
        <w:t xml:space="preserve">Riesgo hereditario versus riesgo residual* El riesgo inherente es la exposición antes de considerar los controles. El riesgo residual es lo que queda después de controles verificados, términos de contrato, opciones de diseño y otro tratamiento. |</w:t>
      </w:r>
      <w:r>
        <w:t xml:space="preserve"> </w:t>
      </w:r>
      <w:r>
        <w:t xml:space="preserve">|. |</w:t>
      </w:r>
    </w:p>
    <w:p>
      <w:pPr>
        <w:pStyle w:val="Compact"/>
        <w:numPr>
          <w:ilvl w:val="0"/>
          <w:numId w:val="1009"/>
        </w:numPr>
      </w:pPr>
      <w:r>
        <w:t xml:space="preserve">Due Diligence and Research</w:t>
      </w:r>
    </w:p>
    <w:p>
      <w:pPr>
        <w:pStyle w:val="FirstParagraph"/>
      </w:pPr>
      <w:r>
        <w:rPr>
          <w:i/>
          <w:iCs/>
        </w:rPr>
        <w:t xml:space="preserve">La diligencia debida reúne la información pertinente para que la organización pueda tomar una decisión de adquisición informada o de uso continuado.</w:t>
      </w:r>
    </w:p>
    <w:p>
      <w:pPr>
        <w:pStyle w:val="BodyText"/>
      </w:pPr>
      <w:r>
        <w:t xml:space="preserve">■img src=</w:t>
      </w:r>
      <w:r>
        <w:t xml:space="preserve">“media/image3.png”</w:t>
      </w:r>
      <w:r>
        <w:t xml:space="preserve"> </w:t>
      </w:r>
      <w:r>
        <w:t xml:space="preserve">style=</w:t>
      </w:r>
      <w:r>
        <w:t xml:space="preserve">“width:6.15in;height:3.39605in”</w:t>
      </w:r>
      <w:r>
        <w:t xml:space="preserve"> </w:t>
      </w:r>
      <w:r>
        <w:t xml:space="preserve">alt=</w:t>
      </w:r>
      <w:r>
        <w:t xml:space="preserve">“Las solicitudes de investigación y evidencia deben seguir el papel y el riesgo real del proveedor.”</w:t>
      </w:r>
    </w:p>
    <w:p>
      <w:pPr>
        <w:pStyle w:val="BodyText"/>
      </w:pPr>
      <w:r>
        <w:t xml:space="preserve">Gráfico 3 Corriente de trabajo de diligencia debida</w:t>
      </w:r>
    </w:p>
    <w:bookmarkEnd w:id="19"/>
    <w:bookmarkStart w:id="20" w:name="componentes-de-evaluación-nist-sp-1326"/>
    <w:p>
      <w:pPr>
        <w:pStyle w:val="Heading2"/>
      </w:pPr>
      <w:r>
        <w:t xml:space="preserve">6.1 Componentes de evaluación NIST SP 1326</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Componente</w:t>
            </w:r>
          </w:p>
        </w:tc>
      </w:tr>
    </w:tbl>
    <w:p>
      <w:pPr>
        <w:pStyle w:val="BodyText"/>
      </w:pPr>
      <w:r>
        <w:t xml:space="preserve">¿Quién posee o influye en el proveedor? ¿Qué jurisdicciones o presiones legales importan?</w:t>
      </w:r>
      <w:r>
        <w:t xml:space="preserve"> </w:t>
      </w:r>
      <w:r>
        <w:t xml:space="preserve">| ¿Dónde se originó el producto, código, componentes, hardware y datos? ¿Pueden rastrearse las afirmaciones? |</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20"/>
    <w:bookmarkStart w:id="21"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
          <w:bCs/>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w:t>
      </w:r>
      <w:r>
        <w:t xml:space="preserve"> </w:t>
      </w:r>
      <w:r>
        <w:t xml:space="preserve">|. |</w:t>
      </w:r>
    </w:p>
    <w:bookmarkEnd w:id="21"/>
    <w:bookmarkEnd w:id="22"/>
    <w:bookmarkStart w:id="23" w:name="evidencia-y-confianza"/>
    <w:p>
      <w:pPr>
        <w:pStyle w:val="Heading1"/>
      </w:pPr>
      <w:r>
        <w:t xml:space="preserve">7. Evidencia y confianza</w:t>
      </w:r>
    </w:p>
    <w:p>
      <w:pPr>
        <w:pStyle w:val="FirstParagraph"/>
      </w:pPr>
      <w:r>
        <w:rPr>
          <w:i/>
          <w:iCs/>
        </w:rPr>
        <w:t xml:space="preserve">La evidencia es útil sólo cuando coincide con el servicio, el período, el control y el riesgo que se evalúa.</w:t>
      </w:r>
    </w:p>
    <w:p>
      <w:pPr>
        <w:pStyle w:val="BodyText"/>
      </w:pPr>
      <w:r>
        <w:t xml:space="preserve">יimg src=</w:t>
      </w:r>
      <w:r>
        <w:t xml:space="preserve">“media/image4.png”</w:t>
      </w:r>
      <w:r>
        <w:t xml:space="preserve"> </w:t>
      </w:r>
      <w:r>
        <w:t xml:space="preserve">style=</w:t>
      </w:r>
      <w:r>
        <w:t xml:space="preserve">“width:6.15in;height:3.39605in”</w:t>
      </w:r>
      <w:r>
        <w:t xml:space="preserve"> </w:t>
      </w:r>
      <w:r>
        <w:t xml:space="preserve">alt=</w:t>
      </w:r>
      <w:r>
        <w:t xml:space="preserve">“Las fuentes de evidencia se complementan unos a otros; ningún artefacto único responde cada pregunta.”</w:t>
      </w:r>
      <w:r>
        <w:t xml:space="preserve"> </w:t>
      </w:r>
      <w:r>
        <w:t xml:space="preserve">/</w:t>
      </w:r>
    </w:p>
    <w:p>
      <w:pPr>
        <w:pStyle w:val="BodyText"/>
      </w:pPr>
      <w:r>
        <w:t xml:space="preserve">Figura 4. Escalera de confianza en la prueba</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Artifact</w:t>
            </w:r>
          </w:p>
        </w:tc>
      </w:tr>
      <w:tr>
        <w:tc>
          <w:tcPr/>
          <w:p>
            <w:pPr>
              <w:pStyle w:val="Compact"/>
            </w:pPr>
            <w:r>
              <w:t xml:space="preserve">TEN SOC 2 Tipo 2</w:t>
            </w:r>
          </w:p>
        </w:tc>
      </w:tr>
      <w:tr>
        <w:tc>
          <w:tcPr/>
          <w:p>
            <w:pPr>
              <w:pStyle w:val="Compact"/>
            </w:pPr>
            <w:r>
              <w:t xml:space="preserve">ISO/IEC 27001 certificado</w:t>
            </w:r>
          </w:p>
        </w:tc>
      </w:tr>
      <w:tr>
        <w:tc>
          <w:tcPr/>
          <w:p>
            <w:pPr>
              <w:pStyle w:val="Compact"/>
            </w:pPr>
            <w:r>
              <w:t xml:space="preserve">Penetration-test report tención Tester independence/skill, scope, date, method, exclusions, severidad, remediation, retest</w:t>
            </w:r>
          </w:p>
        </w:tc>
      </w:tr>
      <w:tr>
        <w:tc>
          <w:tcPr/>
          <w:p>
            <w:pPr>
              <w:pStyle w:val="Compact"/>
            </w:pPr>
            <w:r>
              <w:t xml:space="preserve">tención Política / estándar</w:t>
            </w:r>
          </w:p>
        </w:tc>
      </w:tr>
    </w:tbl>
    <w:p>
      <w:pPr>
        <w:pStyle w:val="BodyText"/>
      </w:pP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 Utilizando un viejo diagrama de ventas ANTE</w:t>
      </w:r>
      <w:r>
        <w:t xml:space="preserve"> </w:t>
      </w:r>
      <w:r>
        <w:t xml:space="preserve">TEN BC/DR test |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23"/>
    <w:bookmarkStart w:id="25" w:name="alcanzar-riesgos-y-tratamiento"/>
    <w:p>
      <w:pPr>
        <w:pStyle w:val="Heading1"/>
      </w:pPr>
      <w:r>
        <w:t xml:space="preserve">8. Alcanzar riesgos y tratamiento</w:t>
      </w:r>
    </w:p>
    <w:p>
      <w:pPr>
        <w:pStyle w:val="FirstParagraph"/>
      </w:pPr>
      <w:r>
        <w:rPr>
          <w:i/>
          <w:iCs/>
        </w:rPr>
        <w:t xml:space="preserve">La puntuación de la tinta apoya decisiones consistentes, pero los números no deben ocultar incertidumbre o problemas individuales graves.</w:t>
      </w:r>
    </w:p>
    <w:bookmarkStart w:id="24"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rPr>
          <w:b/>
          <w:bCs/>
        </w:rPr>
        <w:t xml:space="preserve">Tratamiento</w:t>
      </w:r>
      <w:r>
        <w:t xml:space="preserve"> </w:t>
      </w:r>
      <w:r>
        <w:t xml:space="preserve">|</w:t>
      </w:r>
      <w:r>
        <w:t xml:space="preserve"> </w:t>
      </w:r>
      <w:r>
        <w:rPr>
          <w:b/>
          <w:bCs/>
        </w:rPr>
        <w:t xml:space="preserve">Ejemplo</w:t>
      </w:r>
    </w:p>
    <w:p>
      <w:pPr>
        <w:pStyle w:val="BodyText"/>
      </w:pPr>
      <w:r>
        <w:t xml:space="preserve">|. |</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w:t>
      </w:r>
      <w:r>
        <w:t xml:space="preserve"> </w:t>
      </w:r>
      <w:r>
        <w:t xml:space="preserve">Silencioso Transferencia/compartido Silencioso Seguros, indemnizaciones, créditos de servicio, asignación contractual TENCIÓN Exacto plazo y riesgo permanente</w:t>
      </w:r>
      <w:r>
        <w:t xml:space="preserve"> </w:t>
      </w:r>
      <w:r>
        <w:t xml:space="preserve">| Aceptar | Autorizado propietario acepta el riesgo residual definido para un período | Alcance, razón, aprobador, expiración, monitoreo |</w:t>
      </w:r>
      <w:r>
        <w:t xml:space="preserve"> </w:t>
      </w:r>
      <w:r>
        <w:t xml:space="preserve">← Contingencia Silencioso proveedor, proceso manual, exportación de datos, recuperación probada Silencioso Trigger, recursos, resultado de la prueba</w:t>
      </w:r>
    </w:p>
    <w:p>
      <w:pPr>
        <w:pStyle w:val="BodyText"/>
      </w:pPr>
      <w:r>
        <w:rPr>
          <w:b/>
          <w:bCs/>
        </w:rPr>
        <w:t xml:space="preserve">Advertencia de puntuación:</w:t>
      </w:r>
      <w:r>
        <w:t xml:space="preserve"> </w:t>
      </w:r>
      <w:r>
        <w:t xml:space="preserve">No promedia un problema catastrófico. Reportar escenarios graves, lagunas de evidencia y concentración separadas de la puntuación general. |</w:t>
      </w:r>
    </w:p>
    <w:p>
      <w:pPr>
        <w:pStyle w:val="BodyText"/>
      </w:pPr>
      <w:r>
        <w:t xml:space="preserve">|. |</w:t>
      </w:r>
    </w:p>
    <w:p>
      <w:pPr>
        <w:pStyle w:val="Compact"/>
        <w:numPr>
          <w:ilvl w:val="0"/>
          <w:numId w:val="1012"/>
        </w:numPr>
      </w:pPr>
      <w:r>
        <w:t xml:space="preserve">Requisitos contractuales</w:t>
      </w:r>
    </w:p>
    <w:p>
      <w:pPr>
        <w:pStyle w:val="FirstParagraph"/>
      </w:pPr>
      <w:r>
        <w:rPr>
          <w:i/>
          <w:iCs/>
        </w:rPr>
        <w:t xml:space="preserve">Los contratos convierten los requisitos seleccionados en responsabilidades ejecutables.</w:t>
      </w:r>
    </w:p>
    <w:p>
      <w:pPr>
        <w:pStyle w:val="BodyText"/>
      </w:pPr>
      <w:r>
        <w:rPr>
          <w:b/>
          <w:bCs/>
        </w:rPr>
        <w:t xml:space="preserve">Área de aislamiento</w:t>
      </w:r>
      <w:r>
        <w:t xml:space="preserve"> </w:t>
      </w:r>
      <w:r>
        <w:t xml:space="preserve">|</w:t>
      </w:r>
    </w:p>
    <w:p>
      <w:pPr>
        <w:pStyle w:val="BodyText"/>
      </w:pPr>
      <w:r>
        <w:t xml:space="preserve">|. |</w:t>
      </w:r>
      <w:r>
        <w:t xml:space="preserve"> </w:t>
      </w:r>
      <w:r>
        <w:t xml:space="preserve">Programa de seguridad permanente ¿Qué marco, controles, políticas, pruebas, entrenamiento y pruebas de seguridad son necesarias? |</w:t>
      </w:r>
      <w:r>
        <w:t xml:space="preserve"> </w:t>
      </w:r>
      <w:r>
        <w:t xml:space="preserve">| Uso de datos ¿Qué datos se pueden utilizar, dónde, para qué propósito, durante cuánto tiempo y para la formación de modelos? |</w:t>
      </w:r>
      <w:r>
        <w:t xml:space="preserve"> </w:t>
      </w:r>
      <w:r>
        <w:t xml:space="preserve">| ¿Cómo se manejan menos privilegios, MFA, registro, acceso de apoyo y terminación? |</w:t>
      </w:r>
      <w:r>
        <w:t xml:space="preserve"> </w:t>
      </w:r>
      <w:r>
        <w:t xml:space="preserve">Vulnerabilidad permanente ¿Qué reglas de escaneo, revelación, parche, severidad, remediación y aviso se aplican?</w:t>
      </w:r>
      <w:r>
        <w:t xml:space="preserve"> </w:t>
      </w:r>
      <w:r>
        <w:t xml:space="preserve">| ¿Qué evento activa notar, con qué rapidez, a través de qué canal, con qué actualizaciones y cooperación? |</w:t>
      </w:r>
      <w:r>
        <w:t xml:space="preserve"> </w:t>
      </w:r>
      <w:r>
        <w:t xml:space="preserve">Subprocesadores | ¿Se requiere aprobación o aviso? ¿Desbordan derechos equivalentes? ¿Hay una lista actual disponible?</w:t>
      </w:r>
      <w:r>
        <w:t xml:space="preserve"> </w:t>
      </w:r>
      <w:r>
        <w:t xml:space="preserve">tención auditiva / evidencia | ¿Qué informes, certificaciones, registros, derechos de prueba y prueba de remediación se pueden solicitar? |</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
          <w:bCs/>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 |</w:t>
      </w:r>
    </w:p>
    <w:bookmarkEnd w:id="24"/>
    <w:bookmarkEnd w:id="25"/>
    <w:bookmarkStart w:id="28" w:name="a-bordo-seguro"/>
    <w:p>
      <w:pPr>
        <w:pStyle w:val="Heading1"/>
      </w:pPr>
      <w:r>
        <w:t xml:space="preserve">10. A bordo seguro</w:t>
      </w:r>
    </w:p>
    <w:p>
      <w:pPr>
        <w:pStyle w:val="FirstParagraph"/>
      </w:pPr>
      <w:r>
        <w:rPr>
          <w:i/>
          <w:iCs/>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26"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pStyle w:val="Compact"/>
        <w:numPr>
          <w:ilvl w:val="0"/>
          <w:numId w:val="1015"/>
        </w:numPr>
      </w:pPr>
      <w:r>
        <w:t xml:space="preserve">Vigilancia continua</w:t>
      </w:r>
    </w:p>
    <w:p>
      <w:pPr>
        <w:pStyle w:val="FirstParagraph"/>
      </w:pPr>
      <w:r>
        <w:rPr>
          <w:i/>
          <w:iCs/>
        </w:rPr>
        <w:t xml:space="preserve">Monitoring detecta cambios significativos y verifica que el tratamiento continúa funcionando.</w:t>
      </w:r>
    </w:p>
    <w:p>
      <w:pPr>
        <w:pStyle w:val="BodyText"/>
      </w:pPr>
      <w:r>
        <w:rPr>
          <w:b/>
          <w:bCs/>
        </w:rPr>
        <w:t xml:space="preserve">Signal</w:t>
      </w:r>
      <w:r>
        <w:t xml:space="preserve"> </w:t>
      </w:r>
      <w:r>
        <w:t xml:space="preserve">|**</w:t>
      </w:r>
      <w:r>
        <w:t xml:space="preserve"> </w:t>
      </w:r>
      <w:r>
        <w:t xml:space="preserve">|… |</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w:t>
      </w:r>
      <w:r>
        <w:t xml:space="preserve"> </w:t>
      </w:r>
      <w:r>
        <w:t xml:space="preserve">tención SOC/ISO/pen-test change</w:t>
      </w:r>
      <w:r>
        <w:t xml:space="preserve"> </w:t>
      </w:r>
      <w:r>
        <w:t xml:space="preserve">← Nuevo subprocesador, propietario, ubicación o proveedor de modelos</w:t>
      </w:r>
      <w:r>
        <w:t xml:space="preserve"> </w:t>
      </w:r>
      <w:r>
        <w:t xml:space="preserve">| financiero o operativo Silencioso de revisión, escrow/export, alternativas, y disparador de salida |</w:t>
      </w:r>
      <w:r>
        <w:t xml:space="preserve"> </w:t>
      </w:r>
      <w:r>
        <w:t xml:space="preserve">tención Repetida SLA o la búsqueda de fracaso ← Escalate corrective action and residual-risk decision |</w:t>
      </w:r>
      <w:r>
        <w:t xml:space="preserve"> </w:t>
      </w:r>
      <w:r>
        <w:t xml:space="preserve">tención Renovación o material característica cambio ← Reassess antes del compromiso; actualización contrato y arquitectura</w:t>
      </w:r>
      <w:r>
        <w:t xml:space="preserve"> </w:t>
      </w:r>
      <w:r>
        <w:t xml:space="preserve">| No hay evidencia ni contacto absoluto | Escalar según el nivel y el contrato; no marcar silenciosamente completo</w:t>
      </w:r>
    </w:p>
    <w:bookmarkEnd w:id="26"/>
    <w:bookmarkStart w:id="27"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27"/>
    <w:bookmarkEnd w:id="28"/>
    <w:bookmarkStart w:id="30" w:name="conclusiones-remediación-y-excepciones"/>
    <w:p>
      <w:pPr>
        <w:pStyle w:val="Heading1"/>
      </w:pPr>
      <w:r>
        <w:t xml:space="preserve">12. Conclusiones, Remediación y Excepciones</w:t>
      </w:r>
    </w:p>
    <w:p>
      <w:pPr>
        <w:pStyle w:val="FirstParagraph"/>
      </w:pPr>
      <w:r>
        <w:rPr>
          <w:i/>
          <w:iCs/>
        </w:rPr>
        <w:t xml:space="preserve">Un hallazgo es una brecha documentada entre criterios y condición observada.</w:t>
      </w:r>
    </w:p>
    <w:p>
      <w:pPr>
        <w:pStyle w:val="BodyText"/>
      </w:pPr>
      <w:r>
        <w:rPr>
          <w:b/>
          <w:bCs/>
        </w:rPr>
        <w:t xml:space="preserve">Encuentro del elemento</w:t>
      </w:r>
      <w:r>
        <w:t xml:space="preserve"> </w:t>
      </w:r>
      <w:r>
        <w:t xml:space="preserve">|</w:t>
      </w:r>
    </w:p>
    <w:p>
      <w:pPr>
        <w:pStyle w:val="BodyText"/>
      </w:pPr>
      <w:r>
        <w:t xml:space="preserve">|… |</w:t>
      </w:r>
      <w:r>
        <w:t xml:space="preserve"> </w:t>
      </w:r>
      <w:r>
        <w:t xml:space="preserve">tención Criterios | Exactitud, plazo de contrato, política o norma aprobada</w:t>
      </w:r>
      <w:r>
        <w:t xml:space="preserve"> </w:t>
      </w:r>
      <w:r>
        <w:t xml:space="preserve">| | Qué evidencia mostró, incluyendo la población afectada y la fecha</w:t>
      </w:r>
      <w:r>
        <w:t xml:space="preserve"> </w:t>
      </w:r>
      <w:r>
        <w:t xml:space="preserve">← Riesgo | Credible escenario e impacto empresarial</w:t>
      </w:r>
      <w:r>
        <w:t xml:space="preserve"> </w:t>
      </w:r>
      <w:r>
        <w:t xml:space="preserve">| . Por qué se produjo la brecha; evitar las conjeturas no apoyadas |</w:t>
      </w:r>
      <w:r>
        <w:t xml:space="preserve"> </w:t>
      </w:r>
      <w:r>
        <w:t xml:space="preserve">TENCIÓN FORMULADA Corrección específica o control compensatorio</w:t>
      </w:r>
      <w:r>
        <w:t xml:space="preserve"> </w:t>
      </w:r>
      <w:r>
        <w:t xml:space="preserve">| Propietario/fecha Fecha límite de responsabilidad y riesgo |</w:t>
      </w:r>
      <w:r>
        <w:t xml:space="preserve"> </w:t>
      </w:r>
      <w:r>
        <w:t xml:space="preserve">TENCIÓN PROVISIONAL | Medida a corto plazo mientras que la corrección completa está pendiente</w:t>
      </w:r>
      <w:r>
        <w:t xml:space="preserve"> </w:t>
      </w:r>
      <w:r>
        <w:t xml:space="preserve">TEN Retest | Método, evidencia, resultado, revisor y fecha de cierre</w:t>
      </w:r>
    </w:p>
    <w:bookmarkStart w:id="29"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29"/>
    <w:bookmarkEnd w:id="30"/>
    <w:bookmarkStart w:id="32" w:name="X98c8347cba1078108befd3a289a549d1d1c95df"/>
    <w:p>
      <w:pPr>
        <w:pStyle w:val="Heading1"/>
      </w:pPr>
      <w:r>
        <w:t xml:space="preserve">13. Incidentes y notificaciones de proveedores</w:t>
      </w:r>
    </w:p>
    <w:p>
      <w:pPr>
        <w:pStyle w:val="FirstParagraph"/>
      </w:pPr>
      <w:r>
        <w:rPr>
          <w:i/>
          <w:iCs/>
        </w:rPr>
        <w:t xml:space="preserve">Los incidentes del proveedor requieren hechos compartidos, roles, relojes, canales y decisiones de recuperación</w:t>
      </w:r>
      <w:r>
        <w:t xml:space="preserve">.</w:t>
      </w:r>
    </w:p>
    <w:p>
      <w:pPr>
        <w:pStyle w:val="BodyText"/>
      </w:pPr>
      <w:r>
        <w:t xml:space="preserve">■img src=</w:t>
      </w:r>
      <w:r>
        <w:t xml:space="preserve">“media/image5.png”</w:t>
      </w:r>
      <w:r>
        <w:t xml:space="preserve"> </w:t>
      </w:r>
      <w:r>
        <w:t xml:space="preserve">style=</w:t>
      </w:r>
      <w:r>
        <w:t xml:space="preserve">“width:6.15in;height:3.39605in”</w:t>
      </w:r>
      <w:r>
        <w:t xml:space="preserve"> </w:t>
      </w:r>
      <w:r>
        <w:t xml:space="preserve">alt=“Contract language helps only when contacts and decisions are practiced.</w:t>
      </w:r>
    </w:p>
    <w:p>
      <w:pPr>
        <w:pStyle w:val="BodyText"/>
      </w:pPr>
      <w:r>
        <w:t xml:space="preserve">Gráfico 5 Coordinación de incidentes de proveedores</w:t>
      </w:r>
    </w:p>
    <w:bookmarkStart w:id="31"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rPr>
          <w:b/>
          <w:bCs/>
        </w:rPr>
        <w:t xml:space="preserve">Primeras preguntas</w:t>
      </w:r>
      <w:r>
        <w:t xml:space="preserve"> </w:t>
      </w:r>
      <w:r>
        <w:t xml:space="preserve">|</w:t>
      </w:r>
    </w:p>
    <w:p>
      <w:pPr>
        <w:pStyle w:val="BodyText"/>
      </w:pPr>
      <w:r>
        <w:t xml:space="preserve">Silencioso…—————————————————————————————- La vida——————————————————</w:t>
      </w:r>
      <w:r>
        <w:t xml:space="preserve"> </w:t>
      </w:r>
      <w:r>
        <w:t xml:space="preserve">¿Qué pasó y cuándo? | Establecer plazos y obligaciones de notificación</w:t>
      </w:r>
      <w:r>
        <w:t xml:space="preserve"> </w:t>
      </w:r>
      <w:r>
        <w:t xml:space="preserve">¿Qué producto, inquilino, región, versión, cuentas, datos y subprocesadores? |</w:t>
      </w:r>
      <w:r>
        <w:t xml:space="preserve"> </w:t>
      </w:r>
      <w:r>
        <w:t xml:space="preserve">¿Está contenido el evento? ¿Qué sigue activo? confidencialidad Guía de las decisiones de protección</w:t>
      </w:r>
      <w:r>
        <w:t xml:space="preserve"> </w:t>
      </w:r>
      <w:r>
        <w:t xml:space="preserve">¿Qué evidencia apoya la conclusión actual? | Acto separado de la suposición</w:t>
      </w:r>
      <w:r>
        <w:t xml:space="preserve"> </w:t>
      </w:r>
      <w:r>
        <w:t xml:space="preserve">¿Qué acciones de los clientes son necesarias? | Coordinar teclas, acceso, parches, configuraciones y comunicación</w:t>
      </w:r>
      <w:r>
        <w:t xml:space="preserve"> </w:t>
      </w:r>
      <w:r>
        <w:t xml:space="preserve">¿Cuándo es la siguiente actualización? Mantener un ritmo de funcionamiento fiable</w:t>
      </w:r>
    </w:p>
    <w:bookmarkEnd w:id="31"/>
    <w:bookmarkEnd w:id="32"/>
    <w:bookmarkStart w:id="35" w:name="X650cd4538d99490bd0466240858b87d7adfe24b"/>
    <w:p>
      <w:pPr>
        <w:pStyle w:val="Heading1"/>
      </w:pPr>
      <w:r>
        <w:t xml:space="preserve">14. Cuartas Partes, concentración y riesgo sistémico</w:t>
      </w:r>
    </w:p>
    <w:p>
      <w:pPr>
        <w:pStyle w:val="FirstParagraph"/>
      </w:pPr>
      <w:r>
        <w:rPr>
          <w:i/>
          <w:iCs/>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“media/image6.png”</w:t>
      </w:r>
      <w:r>
        <w:t xml:space="preserve"> </w:t>
      </w:r>
      <w:r>
        <w:t xml:space="preserve">estilo=</w:t>
      </w:r>
      <w:r>
        <w:t xml:space="preserve">“Ancho:6.15in; Altura:4.32536in”</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33"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33"/>
    <w:bookmarkStart w:id="34"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34"/>
    <w:bookmarkEnd w:id="35"/>
    <w:bookmarkStart w:id="36" w:name="vendedores-de-cloud-y-saas"/>
    <w:p>
      <w:pPr>
        <w:pStyle w:val="Heading1"/>
      </w:pPr>
      <w:r>
        <w:t xml:space="preserve">15. Vendedores de Cloud y SaaS</w:t>
      </w:r>
    </w:p>
    <w:p>
      <w:pPr>
        <w:pStyle w:val="FirstParagraph"/>
      </w:pPr>
      <w:r>
        <w:rPr>
          <w:i/>
          <w:iCs/>
        </w:rPr>
        <w:t xml:space="preserve">El riesgo de Cloud y SaaS depende del modelo de responsabilidad compartida y de la configuración de la organización</w:t>
      </w:r>
      <w:r>
        <w:t xml:space="preserve">.</w:t>
      </w:r>
    </w:p>
    <w:p>
      <w:pPr>
        <w:pStyle w:val="BodyText"/>
      </w:pPr>
      <w:r>
        <w:t xml:space="preserve">|** |</w:t>
      </w:r>
      <w:r>
        <w:t xml:space="preserve"> </w:t>
      </w:r>
      <w:r>
        <w:t xml:space="preserve">|. |</w:t>
      </w:r>
      <w:r>
        <w:t xml:space="preserve"> </w:t>
      </w:r>
      <w:r>
        <w:t xml:space="preserve">← Seguridad del arrendatario SSO, MFA, roles, cuentas de administración, sesiones, acceso de apoyo, registro de vidas</w:t>
      </w:r>
      <w:r>
        <w:t xml:space="preserve"> </w:t>
      </w:r>
      <w:r>
        <w:t xml:space="preserve">← Datos |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 Servicio en la nube y ubicaciones dentro de informe/certificado alcance |</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
          <w:bCs/>
        </w:rPr>
        <w:t xml:space="preserve">Responsabilidad compartida:</w:t>
      </w:r>
      <w:r>
        <w:t xml:space="preserve"> </w:t>
      </w:r>
      <w:r>
        <w:t xml:space="preserve">Un proveedor seguro no crea automáticamente un inquilino seguro. Prueba la configuración, acceso, integraciones, opciones de datos y monitoreo del cliente. |</w:t>
      </w:r>
      <w:r>
        <w:t xml:space="preserve"> </w:t>
      </w:r>
      <w:r>
        <w:t xml:space="preserve">|. |</w:t>
      </w:r>
    </w:p>
    <w:bookmarkEnd w:id="36"/>
    <w:bookmarkStart w:id="39" w:name="software-and-open-source-supply-chains"/>
    <w:p>
      <w:pPr>
        <w:pStyle w:val="Heading1"/>
      </w:pPr>
      <w:r>
        <w:t xml:space="preserve">16. Software and Open-Source Supply Chains</w:t>
      </w:r>
    </w:p>
    <w:p>
      <w:pPr>
        <w:pStyle w:val="FirstParagraph"/>
      </w:pPr>
      <w:r>
        <w:rPr>
          <w:i/>
          <w:iCs/>
        </w:rPr>
        <w:t xml:space="preserve">El riesgo de robo incluye prácticas de proveedores y cada componente, construye paso, canal de actualización y dependencia.</w:t>
      </w:r>
    </w:p>
    <w:p>
      <w:pPr>
        <w:pStyle w:val="BodyText"/>
      </w:pPr>
      <w:r>
        <w:t xml:space="preserve">יimg src=</w:t>
      </w:r>
      <w:r>
        <w:t xml:space="preserve">“media/image7.png”</w:t>
      </w:r>
      <w:r>
        <w:t xml:space="preserve"> </w:t>
      </w:r>
      <w:r>
        <w:t xml:space="preserve">style=</w:t>
      </w:r>
      <w:r>
        <w:t xml:space="preserve">“width:6.15in;height:3.39605in”</w:t>
      </w:r>
      <w:r>
        <w:t xml:space="preserve"> </w:t>
      </w:r>
      <w:r>
        <w:t xml:space="preserve">alt=</w:t>
      </w:r>
      <w:r>
        <w:t xml:space="preserve">“Conecte el SBOM y evidencia de seguridad a la versión exacta liberada y operada.”</w:t>
      </w:r>
      <w:r>
        <w:t xml:space="preserve"> </w:t>
      </w:r>
      <w:r>
        <w:t xml:space="preserve">/</w:t>
      </w:r>
    </w:p>
    <w:p>
      <w:pPr>
        <w:pStyle w:val="BodyText"/>
      </w:pPr>
      <w:r>
        <w:t xml:space="preserve">Gráfico 7 Flujo de evidencia de cadena de suministro de software</w:t>
      </w:r>
    </w:p>
    <w:bookmarkStart w:id="37"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37"/>
    <w:bookmarkStart w:id="38"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38"/>
    <w:bookmarkEnd w:id="39"/>
    <w:bookmarkStart w:id="40" w:name="vendedores-de-inteligencia-artificial"/>
    <w:p>
      <w:pPr>
        <w:pStyle w:val="Heading1"/>
      </w:pPr>
      <w:r>
        <w:t xml:space="preserve">17. Vendedores de Inteligencia Artificial</w:t>
      </w:r>
    </w:p>
    <w:p>
      <w:pPr>
        <w:pStyle w:val="FirstParagraph"/>
      </w:pPr>
      <w:r>
        <w:rPr>
          <w:i/>
          <w:iCs/>
        </w:rPr>
        <w:t xml:space="preserve">Los proveedores de IAI agregan modelos cambiantes, capacitación y datos rápidos, salidas inciertas y cadenas de proveedores ocultas.</w:t>
      </w:r>
    </w:p>
    <w:p>
      <w:pPr>
        <w:pStyle w:val="BodyText"/>
      </w:pPr>
      <w:r>
        <w:t xml:space="preserve">“Iniciar el caso de uso permitido, los datos, el impacto, la cadena modelo, la evaluación y el control humano”</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 |</w:t>
      </w:r>
      <w:r>
        <w:t xml:space="preserve"> </w:t>
      </w:r>
      <w:r>
        <w:t xml:space="preserve">|. |</w:t>
      </w:r>
      <w:r>
        <w:t xml:space="preserve"> </w:t>
      </w:r>
      <w:r>
        <w:t xml:space="preserve">| Caso de uso / impacto ¿Qué decisión o tarea se apoya? ¿Quién puede ser dañado? ¿Es significativa la revisión humana? |</w:t>
      </w:r>
      <w:r>
        <w:t xml:space="preserve"> </w:t>
      </w:r>
      <w:r>
        <w:t xml:space="preserve">tención de datos | ¿Se mantienen, comparten o utilizan los avisos, subidas, salidas, comentarios y registros para la formación? |</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w:t>
      </w:r>
      <w:r>
        <w:t xml:space="preserve"> </w:t>
      </w:r>
      <w:r>
        <w:t xml:space="preserve">TENIDA Privacidad / IP ¿Qué fundamento jurídico, propiedad, licencias, eliminación, ubicación, transferencia y derechos se aplican? |</w:t>
      </w:r>
      <w:r>
        <w:t xml:space="preserve"> </w:t>
      </w:r>
      <w:r>
        <w:t xml:space="preserve">¿Cómo se evalúa la exactitud, el sesgo, la robustez, la explicabilidad, la deriva y la producción insegura para este uso?</w:t>
      </w:r>
      <w:r>
        <w:t xml:space="preserve"> </w:t>
      </w:r>
      <w:r>
        <w:t xml:space="preserve">| ¿Qué cambios de modelo, política, característica, proveedor o entrenamiento desencadenan aviso y reevaluación? |</w:t>
      </w:r>
      <w:r>
        <w:t xml:space="preserve"> </w:t>
      </w:r>
      <w:r>
        <w:t xml:space="preserve">¿Cómo se manejan los productos dañinos, las fugas, el compromiso modelo, los abusos, las interrupciones y las pruebas? |</w:t>
      </w:r>
      <w:r>
        <w:t xml:space="preserve"> </w:t>
      </w:r>
      <w:r>
        <w:t xml:space="preserve">¿Pueden exportarse o eliminarse los avisos, archivos, índices, notas finas, registros y datos derivados? |</w:t>
      </w:r>
    </w:p>
    <w:bookmarkEnd w:id="40"/>
    <w:bookmarkStart w:id="42" w:name="privacidad-y-protección-de-datos"/>
    <w:p>
      <w:pPr>
        <w:pStyle w:val="Heading1"/>
      </w:pPr>
      <w:r>
        <w:t xml:space="preserve">18. Privacidad y Protección de Datos</w:t>
      </w:r>
    </w:p>
    <w:p>
      <w:pPr>
        <w:pStyle w:val="FirstParagraph"/>
      </w:pPr>
      <w:r>
        <w:rPr>
          <w:i/>
          <w:iCs/>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 |</w:t>
      </w:r>
    </w:p>
    <w:p>
      <w:pPr>
        <w:pStyle w:val="Compact"/>
        <w:numPr>
          <w:ilvl w:val="0"/>
          <w:numId w:val="1023"/>
        </w:numPr>
      </w:pPr>
      <w:r>
        <w:t xml:space="preserve">Resiliencia, continuidad y salida</w:t>
      </w:r>
    </w:p>
    <w:p>
      <w:pPr>
        <w:pStyle w:val="FirstParagraph"/>
      </w:pPr>
      <w:r>
        <w:rPr>
          <w:i/>
          <w:iCs/>
        </w:rPr>
        <w:t xml:space="preserve">Resilience means providing critical outcomes despite provider disruption and leaving safe when necessary.</w:t>
      </w:r>
    </w:p>
    <w:p>
      <w:pPr>
        <w:pStyle w:val="BodyText"/>
      </w:pPr>
      <w:r>
        <w:t xml:space="preserve">Capability** Silencioso</w:t>
      </w:r>
      <w:r>
        <w:t xml:space="preserve"> </w:t>
      </w:r>
      <w:r>
        <w:rPr>
          <w:b/>
          <w:bCs/>
        </w:rPr>
        <w:t xml:space="preserve">Evidence to test</w:t>
      </w:r>
      <w:r>
        <w:t xml:space="preserve"> </w:t>
      </w:r>
      <w:r>
        <w:t xml:space="preserve">|… |</w:t>
      </w:r>
      <w:r>
        <w:t xml:space="preserve"> </w:t>
      </w:r>
      <w:r>
        <w:t xml:space="preserve">← Impacto empresarial |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 Plan de salida Silenciosos, derechos de decisión, alternativa, exportación de datos, eliminación de acceso, secuencia de migración |</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41"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 who confirms return/deletion and how exceptions such as legal hold or backup retention are controlled.</w:t>
      </w:r>
    </w:p>
    <w:p>
      <w:pPr>
        <w:pStyle w:val="Compact"/>
        <w:numPr>
          <w:ilvl w:val="0"/>
          <w:numId w:val="1025"/>
        </w:numPr>
      </w:pPr>
      <w:r>
        <w:t xml:space="preserve">NIST CSF 2.0 Resultados del proveedor</w:t>
      </w:r>
    </w:p>
    <w:p>
      <w:pPr>
        <w:pStyle w:val="FirstParagraph"/>
      </w:pPr>
      <w:r>
        <w:rPr>
          <w:i/>
          <w:iCs/>
        </w:rPr>
        <w:t xml:space="preserve">NIST CSF 2.0 coloca la gobernanza de la cadena de suministro en la categoría GV.SC.</w:t>
      </w:r>
    </w:p>
    <w:p>
      <w:pPr>
        <w:pStyle w:val="BodyText"/>
      </w:pPr>
      <w:r>
        <w:rPr>
          <w:b/>
          <w:bCs/>
        </w:rPr>
        <w:t xml:space="preserve">Responde</w:t>
      </w:r>
      <w:r>
        <w:t xml:space="preserve"> </w:t>
      </w:r>
      <w:r>
        <w:t xml:space="preserve">|</w:t>
      </w:r>
      <w:r>
        <w:t xml:space="preserve"> </w:t>
      </w:r>
      <w:r>
        <w:rPr>
          <w:b/>
          <w:bCs/>
        </w:rPr>
        <w:t xml:space="preserve">Significado claro</w:t>
      </w:r>
      <w:r>
        <w:rPr>
          <w:b/>
          <w:bCs/>
        </w:rPr>
        <w:t xml:space="preserve"> </w:t>
      </w:r>
      <w:r>
        <w:t xml:space="preserve">Evidencia de ejemplo**</w:t>
      </w:r>
    </w:p>
    <w:p>
      <w:pPr>
        <w:pStyle w:val="BodyText"/>
      </w:pPr>
      <w:r>
        <w:t xml:space="preserve">|.. |</w:t>
      </w:r>
      <w:r>
        <w:t xml:space="preserve"> </w:t>
      </w:r>
      <w:r>
        <w:t xml:space="preserve">| GV.SC-01 | Un programa C-SCRM, estrategia, objetivos, políticas y procesos son establecidos y acordados por los interesados de la organización. | Programa aprobado y registro de los interesados</w:t>
      </w:r>
      <w:r>
        <w:t xml:space="preserve"> </w:t>
      </w:r>
      <w:r>
        <w:t xml:space="preserve">| GV.SC-02 | funciones y responsabilidades de ciberseguridad para proveedores, clientes y socios se establecen, comunican y coordinan. | RACI, contactos, acuerdos, ejercicios</w:t>
      </w:r>
      <w:r>
        <w:t xml:space="preserve"> </w:t>
      </w:r>
      <w:r>
        <w:t xml:space="preserve">tención GV.SC-03 |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 GV.SC-06 ANTE La planificación y la diligencia debida se realizan antes de iniciar relaciones formales con los proveedores. | Toma, investigación, evidencia, análisis, aprobación</w:t>
      </w:r>
      <w:r>
        <w:t xml:space="preserve"> </w:t>
      </w:r>
      <w:r>
        <w:t xml:space="preserve">| GV.SC-07 | Los riesgos de los proveedores se entienden, registran, priorizan, evalúan, tratan y supervisan a lo largo de la relación. |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 Plan de salida, eliminación de acceso/datos, funciones posteriores a la determinación</w:t>
      </w:r>
    </w:p>
    <w:p>
      <w:pPr>
        <w:pStyle w:val="BodyText"/>
      </w:pPr>
      <w:r>
        <w:rPr>
          <w:b/>
          <w:bCs/>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w:t>
      </w:r>
      <w:r>
        <w:t xml:space="preserve"> </w:t>
      </w:r>
      <w:r>
        <w:t xml:space="preserve">|. |</w:t>
      </w:r>
    </w:p>
    <w:bookmarkEnd w:id="41"/>
    <w:bookmarkEnd w:id="42"/>
    <w:bookmarkStart w:id="44" w:name="nist-c-scrm-orientación-en-la-práctica"/>
    <w:p>
      <w:pPr>
        <w:pStyle w:val="Heading1"/>
      </w:pPr>
      <w:r>
        <w:t xml:space="preserve">21. NIST C-SCRM Orientación en la práctica</w:t>
      </w:r>
    </w:p>
    <w:p>
      <w:pPr>
        <w:pStyle w:val="FirstParagraph"/>
      </w:pPr>
      <w:r>
        <w:rPr>
          <w:i/>
          <w:iCs/>
        </w:rPr>
        <w:t xml:space="preserve">Las publicaciones actuales NIST proporcionan orientación complementaria sobre programa, evaluación y planificación.</w:t>
      </w:r>
    </w:p>
    <w:p>
      <w:pPr>
        <w:pStyle w:val="BodyText"/>
      </w:pPr>
      <w:r>
        <w:rPr>
          <w:b/>
          <w:bCs/>
        </w:rPr>
        <w:t xml:space="preserve">Publicación</w:t>
      </w:r>
      <w:r>
        <w:t xml:space="preserve"> </w:t>
      </w:r>
      <w:r>
        <w:t xml:space="preserve">|</w:t>
      </w:r>
    </w:p>
    <w:p>
      <w:pPr>
        <w:pStyle w:val="BodyText"/>
      </w:pPr>
      <w:r>
        <w:t xml:space="preserve">|. |</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 NIST SP 1305 | Usos NIST CSF 2.0 GV.SC para establecer y operar C-SCRM y comunicar los requisitos de los proveedores.</w:t>
      </w:r>
      <w:r>
        <w:t xml:space="preserve"> </w:t>
      </w:r>
      <w:r>
        <w:t xml:space="preserve">| NIST SP 1326 (final julio 8, 2026) | Consideraciones rápidas para evaluaciones de la diligencia debida del proveedor de TIC: FOCI, procedencia, resiliencia, prácticas cibernéticas fundamentales y cadenas de suministro. |</w:t>
      </w:r>
      <w:r>
        <w:t xml:space="preserve"> </w:t>
      </w:r>
      <w:r>
        <w:t xml:space="preserve">| NIST SP 800-18 Rev. 2 (final junio 30, 2026) | Define elementos esenciales para los planes de seguridad del sistema, privacidad y C-SCRM, incluyendo propósito, estado de control, responsabilidades y comportamiento esperado.</w:t>
      </w:r>
    </w:p>
    <w:bookmarkStart w:id="43" w:name="pensamiento-de-tres-niveles"/>
    <w:p>
      <w:pPr>
        <w:pStyle w:val="Heading2"/>
      </w:pPr>
      <w:r>
        <w:t xml:space="preserve">21.1 Pensamiento de tres niveles</w:t>
      </w:r>
    </w:p>
    <w:p>
      <w:pPr>
        <w:pStyle w:val="FirstParagraph"/>
      </w:pPr>
      <w:r>
        <w:rPr>
          <w:b/>
          <w:bCs/>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 Servicios críticos y dependencias</w:t>
      </w:r>
      <w:r>
        <w:t xml:space="preserve"> </w:t>
      </w:r>
      <w:r>
        <w:t xml:space="preserve">TEN System TENED producto, servicio, arquitectura, controles y plan | Plataforma cliente utilizando una nube y proveedor de identidad</w:t>
      </w:r>
    </w:p>
    <w:p>
      <w:pPr>
        <w:pStyle w:val="Compact"/>
        <w:numPr>
          <w:ilvl w:val="0"/>
          <w:numId w:val="1026"/>
        </w:numPr>
      </w:pPr>
      <w:r>
        <w:t xml:space="preserve">Un plan C-SCRM explica los arreglos previstos y aplicados. Los evaluadores todavía necesitan pruebas fiables de que funcionan los controles pertinentes.</w:t>
      </w:r>
      <w:r>
        <w:t xml:space="preserve"> </w:t>
      </w:r>
      <w:r>
        <w:t xml:space="preserve">|. |</w:t>
      </w:r>
    </w:p>
    <w:bookmarkEnd w:id="43"/>
    <w:bookmarkEnd w:id="44"/>
    <w:bookmarkStart w:id="45" w:name="compliance-and-framework-mappings"/>
    <w:p>
      <w:pPr>
        <w:pStyle w:val="Heading1"/>
      </w:pPr>
      <w:r>
        <w:t xml:space="preserve">22. Compliance and Framework Mappings</w:t>
      </w:r>
    </w:p>
    <w:p>
      <w:pPr>
        <w:pStyle w:val="FirstParagraph"/>
      </w:pPr>
      <w:r>
        <w:rPr>
          <w:i/>
          <w:iCs/>
        </w:rPr>
        <w:t xml:space="preserve">Los ajustes coordinan el trabajo, pero cada obligación debe ser interpretada y probada en sus propios términos</w:t>
      </w:r>
      <w:r>
        <w:t xml:space="preserve">.</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Silencioso</w:t>
            </w:r>
            <w:r>
              <w:t xml:space="preserve"> </w:t>
            </w:r>
            <w:r>
              <w:rPr>
                <w:b/>
                <w:bCs/>
              </w:rPr>
              <w:t xml:space="preserve">Framework / obligation</w:t>
            </w:r>
          </w:p>
        </w:tc>
      </w:tr>
      <w:tr>
        <w:tc>
          <w:tcPr/>
          <w:p>
            <w:pPr>
              <w:pStyle w:val="Compact"/>
            </w:pPr>
            <w:r>
              <w:t xml:space="preserve">SOC 2</w:t>
            </w:r>
          </w:p>
        </w:tc>
      </w:tr>
      <w:tr>
        <w:tc>
          <w:tcPr/>
          <w:p>
            <w:pPr>
              <w:pStyle w:val="Compact"/>
            </w:pPr>
            <w:r>
              <w:t xml:space="preserve">TEN ISO/IEC 27001:2022</w:t>
            </w:r>
          </w:p>
        </w:tc>
      </w:tr>
      <w:tr>
        <w:tc>
          <w:tcPr/>
          <w:p>
            <w:pPr>
              <w:pStyle w:val="Compact"/>
            </w:pPr>
            <w:r>
              <w:t xml:space="preserve">PCI DSS v4.0.1</w:t>
            </w:r>
          </w:p>
        </w:tc>
      </w:tr>
      <w:tr>
        <w:tc>
          <w:tcPr/>
          <w:p>
            <w:pPr>
              <w:pStyle w:val="Compact"/>
            </w:pPr>
            <w:r>
              <w:t xml:space="preserve">HIPAA</w:t>
            </w:r>
          </w:p>
        </w:tc>
      </w:tr>
      <w:tr>
        <w:tc>
          <w:tcPr/>
          <w:p>
            <w:pPr>
              <w:pStyle w:val="Compact"/>
            </w:pPr>
            <w:r>
              <w:t xml:space="preserve">TENCIÓN GDPR</w:t>
            </w:r>
          </w:p>
        </w:tc>
      </w:tr>
    </w:tbl>
    <w:p>
      <w:pPr>
        <w:pStyle w:val="BodyText"/>
      </w:pP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 NIST CSF 2.0 | GV.SC más organización en todo el Govern, Identificar, Proteger, Detectar, Responder, Recuperar los resultados TENIDOS Los perfiles están adaptados; CSF no es una certificación ANTE</w:t>
      </w:r>
    </w:p>
    <w:bookmarkEnd w:id="45"/>
    <w:bookmarkStart w:id="47" w:name="pruebas-de-pruebas-y-métricas"/>
    <w:p>
      <w:pPr>
        <w:pStyle w:val="Heading1"/>
      </w:pPr>
      <w:r>
        <w:t xml:space="preserve">23. Pruebas de pruebas y métricas</w:t>
      </w:r>
    </w:p>
    <w:p>
      <w:pPr>
        <w:pStyle w:val="FirstParagraph"/>
      </w:pPr>
      <w:r>
        <w:rPr>
          <w:i/>
          <w:iCs/>
        </w:rPr>
        <w:t xml:space="preserve">Testing pregunta si los controles están diseñados, implementados y funcionando correctamente para el alcance completo.</w:t>
      </w:r>
    </w:p>
    <w:p>
      <w:pPr>
        <w:pStyle w:val="BodyText"/>
      </w:pPr>
      <w:r>
        <w:t xml:space="preserve">■img src=</w:t>
      </w:r>
      <w:r>
        <w:t xml:space="preserve">“media/image9.png”</w:t>
      </w:r>
      <w:r>
        <w:t xml:space="preserve"> </w:t>
      </w:r>
      <w:r>
        <w:t xml:space="preserve">style=</w:t>
      </w:r>
      <w:r>
        <w:t xml:space="preserve">“width:6.15in;height:3.39605in”</w:t>
      </w:r>
      <w:r>
        <w:t xml:space="preserve"> </w:t>
      </w:r>
      <w:r>
        <w:t xml:space="preserve">alt=</w:t>
      </w:r>
      <w:r>
        <w:t xml:space="preserve">“Cada conclusión debe ser trazable de criterios exactos a través de la prueba.”</w:t>
      </w:r>
      <w:r>
        <w:t xml:space="preserve"> </w:t>
      </w:r>
      <w:r>
        <w:t xml:space="preserve">/</w:t>
      </w:r>
    </w:p>
    <w:p>
      <w:pPr>
        <w:pStyle w:val="BodyText"/>
      </w:pPr>
      <w:r>
        <w:t xml:space="preserve">Figure 9. Evidence-testing chain</w:t>
      </w:r>
    </w:p>
    <w:bookmarkStart w:id="46"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Record evidence source, date, owner, version, reviewer, and protected location.</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 Métrico** |</w:t>
      </w:r>
      <w:r>
        <w:t xml:space="preserve"> </w:t>
      </w:r>
      <w:r>
        <w:rPr>
          <w:b/>
          <w:bCs/>
        </w:rPr>
        <w:t xml:space="preserve">Cálculo del ejemplo</w:t>
      </w:r>
      <w:r>
        <w:t xml:space="preserve"> </w:t>
      </w:r>
      <w:r>
        <w:t xml:space="preserve">|</w:t>
      </w:r>
      <w:r>
        <w:t xml:space="preserve"> </w:t>
      </w:r>
      <w:r>
        <w:rPr>
          <w:b/>
          <w:bCs/>
        </w:rPr>
        <w:t xml:space="preserve">Lo que puede revelar</w:t>
      </w:r>
      <w:r>
        <w:t xml:space="preserve"> </w:t>
      </w:r>
      <w:r>
        <w:t xml:space="preserve">|</w:t>
      </w:r>
    </w:p>
    <w:p>
      <w:pPr>
        <w:pStyle w:val="BodyText"/>
      </w:pPr>
      <w:r>
        <w:t xml:space="preserve">|…———————————————————— |</w:t>
      </w:r>
      <w:r>
        <w:t xml:space="preserve"> </w:t>
      </w:r>
      <w:r>
        <w:t xml:space="preserve">| Inventario propiedad | Proveedores con propietario válido ÷ proveedores activos | Relaciones con los huérfanos |</w:t>
      </w:r>
      <w:r>
        <w:t xml:space="preserve"> </w:t>
      </w:r>
      <w:r>
        <w:t xml:space="preserve">tención Evaluación cobertura | proveedores In-scope con evaluación completada actual ÷ proveedores in-scope</w:t>
      </w:r>
      <w:r>
        <w:t xml:space="preserve"> </w:t>
      </w:r>
      <w:r>
        <w:t xml:space="preserve">← Cobertura de contrato | proveedores de alto nivel con cláusulas requeridas</w:t>
      </w:r>
      <w:r>
        <w:t xml:space="preserve"> </w:t>
      </w:r>
      <w:r>
        <w:t xml:space="preserve">| Critical finding age | Días desde encontrar fecha hasta el cierre o hoy | Remediation delay tención</w:t>
      </w:r>
      <w:r>
        <w:t xml:space="preserve"> </w:t>
      </w:r>
      <w:r>
        <w:t xml:space="preserve">← Rendimiento de notificación de incidentes |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 Servicios críticos dependientes del mismo proveedor/región/tecnología TENCIÓN Fallo relacionado con el cuerpo</w:t>
      </w:r>
    </w:p>
    <w:p>
      <w:pPr>
        <w:pStyle w:val="Compact"/>
        <w:numPr>
          <w:ilvl w:val="0"/>
          <w:numId w:val="1027"/>
        </w:numPr>
      </w:pPr>
      <w:r>
        <w:t xml:space="preserve">Calidad métrica* Siempre mostrar numerador, denominador, fecha, reglas de inclusión, propietario de datos, limitaciones, tendencia y acción. Un porcentaje verde puede ocultar una excepción severa.</w:t>
      </w:r>
      <w:r>
        <w:t xml:space="preserve"> </w:t>
      </w:r>
      <w:r>
        <w:t xml:space="preserve">|. |</w:t>
      </w:r>
    </w:p>
    <w:p>
      <w:pPr>
        <w:pStyle w:val="Compact"/>
        <w:numPr>
          <w:ilvl w:val="0"/>
          <w:numId w:val="1028"/>
        </w:numPr>
      </w:pPr>
      <w:r>
        <w:t xml:space="preserve">Herramientas de código abierto</w:t>
      </w:r>
    </w:p>
    <w:p>
      <w:pPr>
        <w:pStyle w:val="FirstParagraph"/>
      </w:pPr>
      <w:r>
        <w:rPr>
          <w:i/>
          <w:iCs/>
        </w:rPr>
        <w:t xml:space="preserve">Las herramientas de código abierto pueden apoyar inventario, pruebas, seguridad de software, pruebas técnicas, monitoreo y remediación.</w:t>
      </w:r>
    </w:p>
    <w:bookmarkEnd w:id="46"/>
    <w:bookmarkEnd w:id="47"/>
    <w:bookmarkStart w:id="76" w:name="tool-silencioso"/>
    <w:p>
      <w:pPr>
        <w:pStyle w:val="Heading1"/>
      </w:pPr>
      <w:r>
        <w:t xml:space="preserve">Tool** Silencioso**</w:t>
      </w:r>
    </w:p>
    <w:p>
      <w:pPr>
        <w:pStyle w:val="FirstParagraph"/>
      </w:pPr>
      <w:r>
        <w:t xml:space="preserve">|. |</w:t>
      </w:r>
      <w:r>
        <w:t xml:space="preserve"> </w:t>
      </w:r>
      <w:r>
        <w:t xml:space="preserve">| CISO Assistant |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 GUAC tóxico Graphing software supply-chain metadata |</w:t>
      </w:r>
      <w:r>
        <w:t xml:space="preserve"> </w:t>
      </w:r>
      <w:r>
        <w:t xml:space="preserve">TEN OSV-Scanner |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w:t>
      </w:r>
      <w:r>
        <w:t xml:space="preserve"> </w:t>
      </w:r>
      <w:r>
        <w:t xml:space="preserve">← Keycloak ← Identidad, roles, MFA, sesiones y eventos</w:t>
      </w:r>
      <w:r>
        <w:t xml:space="preserve"> </w:t>
      </w:r>
      <w:r>
        <w:t xml:space="preserve">| OWASP ZAP | Autorizado de las pruebas de la aplicación web</w:t>
      </w:r>
      <w:r>
        <w:t xml:space="preserve"> </w:t>
      </w:r>
      <w:r>
        <w:t xml:space="preserve">| Greenbone Community Edition | Evaluación de vulnerabilidad autorizada</w:t>
      </w:r>
      <w:r>
        <w:t xml:space="preserve"> </w:t>
      </w:r>
      <w:r>
        <w:t xml:space="preserve">| Nmap | Servicio autorizado y descubrimiento de activos</w:t>
      </w:r>
      <w:r>
        <w:t xml:space="preserve"> </w:t>
      </w:r>
      <w:r>
        <w:t xml:space="preserve">TEN Open Policy Agent | Decisiones de política como código</w:t>
      </w:r>
    </w:p>
    <w:p>
      <w:pPr>
        <w:pStyle w:val="BodyText"/>
      </w:pPr>
      <w:r>
        <w:rPr>
          <w:b/>
          <w:bCs/>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w:t>
      </w:r>
      <w:r>
        <w:t xml:space="preserve"> </w:t>
      </w:r>
      <w:r>
        <w:t xml:space="preserve">|. |</w:t>
      </w:r>
    </w:p>
    <w:bookmarkStart w:id="49"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48">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49"/>
    <w:bookmarkStart w:id="50"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50"/>
    <w:bookmarkStart w:id="52"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51">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52"/>
    <w:bookmarkStart w:id="54"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53">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54"/>
    <w:bookmarkStart w:id="56" w:name="grype"/>
    <w:p>
      <w:pPr>
        <w:pStyle w:val="Heading2"/>
      </w:pPr>
      <w:r>
        <w:t xml:space="preserve">24.5 Grype</w:t>
      </w:r>
    </w:p>
    <w:p>
      <w:pPr>
        <w:pStyle w:val="FirstParagraph"/>
      </w:pPr>
      <w:r>
        <w:t xml:space="preserve">Propósito: Escaneo de vulnerabilidad para imágenes y SBOMs. Proyecto oficial:</w:t>
      </w:r>
      <w:r>
        <w:t xml:space="preserve"> </w:t>
      </w:r>
      <w:hyperlink r:id="rId55">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56"/>
    <w:bookmarkStart w:id="58"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57">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58"/>
    <w:bookmarkStart w:id="60"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59">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2"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61">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2"/>
    <w:bookmarkStart w:id="63"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64">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66">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keycloak"/>
    <w:p>
      <w:pPr>
        <w:pStyle w:val="Heading2"/>
      </w:pPr>
      <w:r>
        <w:t xml:space="preserve">24.12 Keycloak</w:t>
      </w:r>
    </w:p>
    <w:p>
      <w:pPr>
        <w:pStyle w:val="FirstParagraph"/>
      </w:pPr>
      <w:r>
        <w:t xml:space="preserve">Propósito: Identidad, roles, MFA, sesiones y eventos. Proyecto oficial:</w:t>
      </w:r>
      <w:r>
        <w:t xml:space="preserve"> </w:t>
      </w:r>
      <w:hyperlink r:id="rId68">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0"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0"/>
    <w:bookmarkStart w:id="71"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nmap"/>
    <w:p>
      <w:pPr>
        <w:pStyle w:val="Heading2"/>
      </w:pPr>
      <w:r>
        <w:t xml:space="preserve">24.15 Nmap</w:t>
      </w:r>
    </w:p>
    <w:p>
      <w:pPr>
        <w:pStyle w:val="FirstParagraph"/>
      </w:pPr>
      <w:r>
        <w:t xml:space="preserve">Propósito: Servicio autorizado y descubrimiento de activos. Proyecto oficial:</w:t>
      </w:r>
      <w:r>
        <w:t xml:space="preserve"> </w:t>
      </w:r>
      <w:hyperlink r:id="rId72">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5"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74">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5"/>
    <w:bookmarkEnd w:id="76"/>
    <w:bookmarkStart w:id="78" w:name="libro-de-reproducción-de-tprm-de-manager"/>
    <w:p>
      <w:pPr>
        <w:pStyle w:val="Heading1"/>
      </w:pPr>
      <w:r>
        <w:t xml:space="preserve">25. Libro de reproducción de TPRM de Manager</w:t>
      </w:r>
    </w:p>
    <w:p>
      <w:pPr>
        <w:pStyle w:val="FirstParagraph"/>
      </w:pPr>
      <w:r>
        <w:rPr>
          <w:i/>
          <w:iCs/>
        </w:rPr>
        <w:t xml:space="preserve">Los administradores hacen que el programa sea real estableciendo prioridades, resolviendo conflictos, financiando tratamiento y desafiando pruebas</w:t>
      </w:r>
      <w:r>
        <w:t xml:space="preserve">.</w:t>
      </w:r>
    </w:p>
    <w:p>
      <w:pPr>
        <w:pStyle w:val="BodyText"/>
      </w:pPr>
      <w:r>
        <w:t xml:space="preserve">****Dashboard area** |</w:t>
      </w:r>
      <w:r>
        <w:t xml:space="preserve"> </w:t>
      </w:r>
      <w:r>
        <w:rPr>
          <w:b/>
          <w:bCs/>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 Evidencia | ¿Cubre el servicio y el período exactos? TENIDA La brecha material, excepción, alcance débil o informe final</w:t>
      </w:r>
      <w:r>
        <w:t xml:space="preserve"> </w:t>
      </w:r>
      <w:r>
        <w:t xml:space="preserve">TENSIONES FORMULADAS ¿Se han firmado requisitos materiales y se han aprobado desviaciones? | Cláusula crítica ausente o inaplicable</w:t>
      </w:r>
      <w:r>
        <w:t xml:space="preserve"> </w:t>
      </w:r>
      <w:r>
        <w:t xml:space="preserve">viv Findings |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 No hay ruta de exportación, alternativa o eliminación probada</w:t>
      </w:r>
    </w:p>
    <w:bookmarkStart w:id="77"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
          <w:bCs/>
        </w:rPr>
        <w:t xml:space="preserve">Preguntas que importan:</w:t>
      </w:r>
      <w:r>
        <w:t xml:space="preserve"> </w:t>
      </w:r>
      <w:r>
        <w:t xml:space="preserve">¿Qué puede fallar? ¿Quién está afectado? ¿Qué evidencia apoya la conclusión? ¿Qué sigue siendo incierto? ¿Quién debe actuar cuando? ¿Cómo sabremos que la solución funcionó? |</w:t>
      </w:r>
      <w:r>
        <w:t xml:space="preserve"> </w:t>
      </w:r>
      <w:r>
        <w:t xml:space="preserve">|. |</w:t>
      </w:r>
    </w:p>
    <w:bookmarkEnd w:id="77"/>
    <w:bookmarkEnd w:id="78"/>
    <w:bookmarkStart w:id="81" w:name="junior-analyst-career-guide"/>
    <w:p>
      <w:pPr>
        <w:pStyle w:val="Heading1"/>
      </w:pPr>
      <w:r>
        <w:t xml:space="preserve">26. Junior Analyst Career Guide</w:t>
      </w:r>
    </w:p>
    <w:p>
      <w:pPr>
        <w:pStyle w:val="FirstParagraph"/>
      </w:pPr>
      <w:r>
        <w:rPr>
          <w:i/>
          <w:iCs/>
        </w:rPr>
        <w:t xml:space="preserve">Los analistas de Junior crean valor produciendo inventarios precisos, exámenes de evidencia, hallazgos y seguimiento.</w:t>
      </w:r>
    </w:p>
    <w:p>
      <w:pPr>
        <w:pStyle w:val="BodyText"/>
      </w:pPr>
      <w:r>
        <w:t xml:space="preserve">■img src=</w:t>
      </w:r>
      <w:r>
        <w:t xml:space="preserve">“media/image10.png”</w:t>
      </w:r>
      <w:r>
        <w:t xml:space="preserve"> </w:t>
      </w:r>
      <w:r>
        <w:t xml:space="preserve">estilo=</w:t>
      </w:r>
      <w:r>
        <w:t xml:space="preserve">“width:6.15in;height:3.39605in”</w:t>
      </w:r>
      <w:r>
        <w:t xml:space="preserve"> </w:t>
      </w:r>
      <w:r>
        <w:t xml:space="preserve">alt=</w:t>
      </w:r>
      <w:r>
        <w:t xml:space="preserve">“Trabajo cuidado y limitaciones honestas construyen una cartera y confianza profesional.”</w:t>
      </w:r>
      <w:r>
        <w:t xml:space="preserve"> </w:t>
      </w:r>
      <w:r>
        <w:t xml:space="preserve">/</w:t>
      </w:r>
    </w:p>
    <w:p>
      <w:pPr>
        <w:pStyle w:val="BodyText"/>
      </w:pPr>
      <w:r>
        <w:t xml:space="preserve">Gráfico 10 Júnior TPRM analista</w:t>
      </w:r>
    </w:p>
    <w:bookmarkStart w:id="79"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79"/>
    <w:bookmarkStart w:id="80"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 |</w:t>
      </w:r>
      <w:r>
        <w:t xml:space="preserve"> </w:t>
      </w:r>
      <w:r>
        <w:t xml:space="preserve">← Lifecycle ← Registro del proveedor de la ingesta a través de la salida</w:t>
      </w:r>
      <w:r>
        <w:t xml:space="preserve"> </w:t>
      </w:r>
      <w:r>
        <w:t xml:space="preserve">← Evidencia | Anotado SOC 2/ISO / lista de verificación de revisión de la prueba mediante hechos sintéticos</w:t>
      </w:r>
      <w:r>
        <w:t xml:space="preserve"> </w:t>
      </w:r>
      <w:r>
        <w:t xml:space="preserve">| Tres evaluaciones basadas en escenarios con incertidumbre |</w:t>
      </w:r>
      <w:r>
        <w:t xml:space="preserve"> </w:t>
      </w:r>
      <w:r>
        <w:t xml:space="preserve">Ø Alfabetización técnica |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 Dashboard con poblaciones definidas y cálculos</w:t>
      </w:r>
      <w:r>
        <w:t xml:space="preserve"> </w:t>
      </w:r>
      <w:r>
        <w:t xml:space="preserve">← Ética ← Autorización escrita, datos sintéticos, redes y limitaciones honestas</w:t>
      </w:r>
    </w:p>
    <w:bookmarkEnd w:id="80"/>
    <w:bookmarkEnd w:id="81"/>
    <w:bookmarkStart w:id="93" w:name="laboratorio-ficcional-y-portfolio"/>
    <w:p>
      <w:pPr>
        <w:pStyle w:val="Heading1"/>
      </w:pPr>
      <w:r>
        <w:t xml:space="preserve">27. Laboratorio Ficcional y Portfolio</w:t>
      </w:r>
    </w:p>
    <w:p>
      <w:pPr>
        <w:pStyle w:val="FirstParagraph"/>
      </w:pPr>
      <w:r>
        <w:rPr>
          <w:i/>
          <w:iCs/>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rPr>
          <w:b/>
          <w:bCs/>
        </w:rPr>
        <w:t xml:space="preserve">Artifact</w:t>
      </w:r>
      <w:r>
        <w:t xml:space="preserve"> </w:t>
      </w:r>
      <w:r>
        <w:t xml:space="preserve">| ** Lo que demuestra** |</w:t>
      </w:r>
    </w:p>
    <w:p>
      <w:pPr>
        <w:pStyle w:val="BodyText"/>
      </w:pPr>
      <w:r>
        <w:t xml:space="preserve">|. |</w:t>
      </w:r>
      <w:r>
        <w:t xml:space="preserve"> </w:t>
      </w:r>
      <w:r>
        <w:t xml:space="preserve">| inventario de proveedores y ordenamiento | Gestión y priorización de la población</w:t>
      </w:r>
      <w:r>
        <w:t xml:space="preserve"> </w:t>
      </w:r>
      <w:r>
        <w:t xml:space="preserve">tención Due-diligence memo ANTE Investigación, calidad de la evidencia y decisión razonada |</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w:t>
      </w:r>
      <w:r>
        <w:t xml:space="preserve"> </w:t>
      </w:r>
      <w:r>
        <w:t xml:space="preserve">Lista de verificación del contrato permanente Traducción del riesgo en requisitos ejecutables</w:t>
      </w:r>
      <w:r>
        <w:t xml:space="preserve"> </w:t>
      </w:r>
      <w:r>
        <w:t xml:space="preserve">TEN SBOM laboratorio | Componente de software y alfabetización de vulnerabilidad</w:t>
      </w:r>
      <w:r>
        <w:t xml:space="preserve"> </w:t>
      </w:r>
      <w:r>
        <w:t xml:space="preserve">tención Incident tabletop tención Rols, facts, communication, and improvement</w:t>
      </w:r>
      <w:r>
        <w:t xml:space="preserve"> </w:t>
      </w:r>
      <w:r>
        <w:t xml:space="preserve">← Exit test ¦ Resilience, portability, revocation, and deletion</w:t>
      </w:r>
      <w:r>
        <w:t xml:space="preserve"> </w:t>
      </w:r>
      <w:r>
        <w:t xml:space="preserve">tención Administrador dashboard | Metrices claras, problemas graves, incertidumbre y acción</w:t>
      </w:r>
    </w:p>
    <w:p>
      <w:pPr>
        <w:pStyle w:val="Compact"/>
        <w:numPr>
          <w:ilvl w:val="0"/>
          <w:numId w:val="1030"/>
        </w:numPr>
      </w:pPr>
      <w:r>
        <w:t xml:space="preserve">Plan de aprendizaje de 30 días</w:t>
      </w:r>
    </w:p>
    <w:p>
      <w:pPr>
        <w:pStyle w:val="FirstParagraph"/>
      </w:pPr>
      <w:r>
        <w:rPr>
          <w:i/>
          <w:iCs/>
        </w:rPr>
        <w:t xml:space="preserve">Un mes centrado puede crear una capacidad útil de nivel de entrada</w:t>
      </w:r>
      <w:r>
        <w:t xml:space="preserve">.</w:t>
      </w:r>
    </w:p>
    <w:tbl>
      <w:tblPr>
        <w:tblStyle w:val="Table"/>
        <w:tblW w:type="auto" w:w="0"/>
        <w:tblLook w:firstRow="1" w:lastRow="0" w:firstColumn="0" w:lastColumn="0" w:noHBand="0" w:noVBand="0" w:val="0020"/>
      </w:tblPr>
      <w:tblGrid>
        <w:gridCol w:w="7920"/>
      </w:tblGrid>
      <w:tr>
        <w:trPr>
          <w:tblHeader w:val="on"/>
        </w:trPr>
        <w:tc>
          <w:tcPr/>
          <w:p>
            <w:pPr>
              <w:pStyle w:val="Compact"/>
            </w:pPr>
            <w:r>
              <w:rPr>
                <w:b/>
                <w:bCs/>
              </w:rPr>
              <w:t xml:space="preserve">Días</w:t>
            </w:r>
          </w:p>
        </w:tc>
      </w:tr>
      <w:tr>
        <w:tc>
          <w:tcPr/>
          <w:p>
            <w:pPr>
              <w:pStyle w:val="Compact"/>
            </w:pPr>
            <w:r>
              <w:t xml:space="preserve">1–3</w:t>
            </w:r>
          </w:p>
        </w:tc>
      </w:tr>
      <w:tr>
        <w:tc>
          <w:tcPr/>
          <w:p>
            <w:pPr>
              <w:pStyle w:val="Compact"/>
            </w:pPr>
            <w:r>
              <w:t xml:space="preserve">4–6</w:t>
            </w:r>
          </w:p>
        </w:tc>
      </w:tr>
      <w:tr>
        <w:tc>
          <w:tcPr/>
          <w:p>
            <w:pPr>
              <w:pStyle w:val="Compact"/>
            </w:pPr>
            <w:r>
              <w:t xml:space="preserve">7–10</w:t>
            </w:r>
          </w:p>
        </w:tc>
      </w:tr>
      <w:tr>
        <w:tc>
          <w:tcPr/>
          <w:p>
            <w:pPr>
              <w:pStyle w:val="Compact"/>
            </w:pPr>
            <w:r>
              <w:t xml:space="preserve">TEN 11–13</w:t>
            </w:r>
          </w:p>
        </w:tc>
      </w:tr>
      <w:tr>
        <w:tc>
          <w:tcPr/>
          <w:p>
            <w:pPr>
              <w:pStyle w:val="Compact"/>
            </w:pPr>
            <w:r>
              <w:t xml:space="preserve">TEN 14–16</w:t>
            </w:r>
          </w:p>
        </w:tc>
      </w:tr>
      <w:tr>
        <w:tc>
          <w:tcPr/>
          <w:p>
            <w:pPr>
              <w:pStyle w:val="Compact"/>
            </w:pPr>
            <w:r>
              <w:t xml:space="preserve">TEN 17–19 ANTERIENTE Contratos, a bordo, monitoreando</w:t>
            </w:r>
          </w:p>
        </w:tc>
      </w:tr>
      <w:tr>
        <w:tc>
          <w:tcPr/>
          <w:p>
            <w:pPr>
              <w:pStyle w:val="Compact"/>
            </w:pPr>
            <w:r>
              <w:t xml:space="preserve">TEN 20–22</w:t>
            </w:r>
          </w:p>
        </w:tc>
      </w:tr>
      <w:tr>
        <w:tc>
          <w:tcPr/>
          <w:p>
            <w:pPr>
              <w:pStyle w:val="Compact"/>
            </w:pPr>
            <w:r>
              <w:t xml:space="preserve">TEN 23–25</w:t>
            </w:r>
          </w:p>
        </w:tc>
      </w:tr>
      <w:tr>
        <w:tc>
          <w:tcPr/>
          <w:p>
            <w:pPr>
              <w:pStyle w:val="Compact"/>
            </w:pPr>
            <w:r>
              <w:t xml:space="preserve">26–27</w:t>
            </w:r>
          </w:p>
        </w:tc>
      </w:tr>
      <w:tr>
        <w:tc>
          <w:tcPr/>
          <w:p>
            <w:pPr>
              <w:pStyle w:val="Compact"/>
            </w:pPr>
            <w:r>
              <w:t xml:space="preserve">TEN 28–30 TENIDA Metrics, portafolio, entrevista</w:t>
            </w:r>
          </w:p>
        </w:tc>
      </w:tr>
    </w:tbl>
    <w:p>
      <w:pPr>
        <w:pStyle w:val="Compact"/>
        <w:numPr>
          <w:ilvl w:val="0"/>
          <w:numId w:val="1031"/>
        </w:numPr>
      </w:pPr>
      <w:r>
        <w:t xml:space="preserve">Preparación de entrevistas</w:t>
      </w:r>
    </w:p>
    <w:p>
      <w:pPr>
        <w:pStyle w:val="FirstParagraph"/>
      </w:pPr>
      <w:r>
        <w:rPr>
          <w:i/>
          <w:iCs/>
        </w:rPr>
        <w:t xml:space="preserve">Las respuestas de interés deben ser cortas, precisas y atadas a ejemplos</w:t>
      </w:r>
      <w:r>
        <w:t xml:space="preserve">.</w:t>
      </w:r>
    </w:p>
    <w:bookmarkStart w:id="82"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82"/>
    <w:bookmarkStart w:id="83"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83"/>
    <w:bookmarkStart w:id="84"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84"/>
    <w:bookmarkStart w:id="85"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85"/>
    <w:bookmarkStart w:id="86"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86"/>
    <w:bookmarkStart w:id="87"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87"/>
    <w:bookmarkStart w:id="88"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88"/>
    <w:bookmarkStart w:id="89"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89"/>
    <w:bookmarkStart w:id="90"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90"/>
    <w:bookmarkStart w:id="91"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91"/>
    <w:bookmarkStart w:id="92"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92"/>
    <w:bookmarkEnd w:id="93"/>
    <w:bookmarkStart w:id="105" w:name="plantillas-glosario-índice-y-referencias"/>
    <w:p>
      <w:pPr>
        <w:pStyle w:val="Heading1"/>
      </w:pPr>
      <w:r>
        <w:t xml:space="preserve">30. Plantillas, Glosario, Índice y Referencias</w:t>
      </w:r>
    </w:p>
    <w:p>
      <w:pPr>
        <w:pStyle w:val="Compact"/>
        <w:numPr>
          <w:ilvl w:val="0"/>
          <w:numId w:val="1032"/>
        </w:numPr>
      </w:pPr>
      <w:r>
        <w:t xml:space="preserve">Estructuras reutilizables, términos clave, índice de sujeto y puntos de partida oficiales.*</w:t>
      </w:r>
    </w:p>
    <w:bookmarkStart w:id="94" w:name="registro-de-inventario-de-proveedores"/>
    <w:p>
      <w:pPr>
        <w:pStyle w:val="Heading2"/>
      </w:pPr>
      <w:r>
        <w:t xml:space="preserve">30.1 Registro de inventario de proveedores</w:t>
      </w:r>
    </w:p>
    <w:p>
      <w:pPr>
        <w:pStyle w:val="FirstParagraph"/>
      </w:pPr>
      <w:r>
        <w:t xml:space="preserve">|** |</w:t>
      </w:r>
      <w:r>
        <w:t xml:space="preserve"> </w:t>
      </w:r>
      <w:r>
        <w:t xml:space="preserve">|… |</w:t>
      </w:r>
      <w:r>
        <w:t xml:space="preserve"> </w:t>
      </w:r>
      <w:r>
        <w:t xml:space="preserve">| Nombre legal / servicio |                                  </w:t>
      </w:r>
      <w:r>
        <w:br/>
      </w:r>
      <w:r>
        <w:t xml:space="preserve">Los dueños de negocios y técnicos de la vida siguen adelante.</w:t>
      </w:r>
      <w:r>
        <w:t xml:space="preserve"> </w:t>
      </w:r>
      <w:r>
        <w:t xml:space="preserve">“Pripose”</w:t>
      </w:r>
      <w:r>
        <w:t xml:space="preserve"> </w:t>
      </w:r>
      <w:r>
        <w:t xml:space="preserve">y procesos críticos</w:t>
      </w:r>
      <w:r>
        <w:t xml:space="preserve"> </w:t>
      </w:r>
      <w:r>
        <w:t xml:space="preserve">“vivir”</w:t>
      </w:r>
      <w:r>
        <w:t xml:space="preserve"> </w:t>
      </w:r>
      <w:r>
        <w:t xml:space="preserve">TENIENDO Datos / ubicaciones / transferencias |                                  </w:t>
      </w:r>
      <w:r>
        <w:br/>
      </w:r>
      <w:r>
        <w:t xml:space="preserve">“Acceso a las integraciones / privilegios”</w:t>
      </w:r>
      <w:r>
        <w:t xml:space="preserve"> </w:t>
      </w:r>
      <w:r>
        <w:t xml:space="preserve">“Primeras fiestas / concentración”</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“La vigilancia / el incidente / estado de la salida”</w:t>
      </w:r>
    </w:p>
    <w:bookmarkEnd w:id="94"/>
    <w:bookmarkStart w:id="95" w:name="X139557a0fa9fa37146edddecc8a8af05dd4022f"/>
    <w:p>
      <w:pPr>
        <w:pStyle w:val="Heading2"/>
      </w:pPr>
      <w:r>
        <w:t xml:space="preserve">30.2 Documento de trabajo sobre diligencia debida</w:t>
      </w:r>
    </w:p>
    <w:p>
      <w:pPr>
        <w:pStyle w:val="FirstParagraph"/>
      </w:pPr>
      <w:r>
        <w:t xml:space="preserve">|** |</w:t>
      </w:r>
      <w:r>
        <w:t xml:space="preserve"> </w:t>
      </w:r>
      <w:r>
        <w:t xml:space="preserve">|. |</w:t>
      </w:r>
      <w:r>
        <w:t xml:space="preserve"> </w:t>
      </w:r>
      <w:r>
        <w:t xml:space="preserve">“La decisión y el alcance de la vida”</w:t>
      </w:r>
      <w:r>
        <w:t xml:space="preserve"> </w:t>
      </w:r>
      <w:r>
        <w:t xml:space="preserve">Fuentes de la vida / fechas / confiabilidad</w:t>
      </w:r>
      <w:r>
        <w:t xml:space="preserve"> </w:t>
      </w:r>
      <w:r>
        <w:t xml:space="preserve">| FOCI |                               </w:t>
      </w:r>
      <w:r>
        <w:br/>
      </w:r>
      <w:r>
        <w:t xml:space="preserve">“La venganza en la vida”</w:t>
      </w:r>
      <w:r>
        <w:t xml:space="preserve"> </w:t>
      </w:r>
      <w:r>
        <w:t xml:space="preserve">“La Resiliencia de la Vida”</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                                                                                                                          </w:t>
      </w:r>
      <w:r>
        <w:t xml:space="preserve"> </w:t>
      </w:r>
      <w:r>
        <w:t xml:space="preserve">| CONCLUSIÓN / Aprobador / expiración                           |</w:t>
      </w:r>
    </w:p>
    <w:bookmarkEnd w:id="95"/>
    <w:bookmarkStart w:id="96" w:name="assurance-review"/>
    <w:p>
      <w:pPr>
        <w:pStyle w:val="Heading2"/>
      </w:pPr>
      <w:r>
        <w:t xml:space="preserve">30.3 Assurance review</w:t>
      </w:r>
    </w:p>
    <w:p>
      <w:pPr>
        <w:pStyle w:val="FirstParagraph"/>
      </w:pPr>
      <w:r>
        <w:t xml:space="preserve">|** |</w:t>
      </w:r>
      <w:r>
        <w:t xml:space="preserve"> </w:t>
      </w:r>
      <w:r>
        <w:t xml:space="preserve">|… |</w:t>
      </w:r>
      <w:r>
        <w:t xml:space="preserve"> </w:t>
      </w:r>
      <w:r>
        <w:t xml:space="preserve">| Artifact / issuer / date TEN                              |</w:t>
      </w:r>
      <w:r>
        <w:t xml:space="preserve"> </w:t>
      </w:r>
      <w:r>
        <w:t xml:space="preserve">“Entity / system / location scope”</w:t>
      </w:r>
      <w:r>
        <w:t xml:space="preserve"> </w:t>
      </w:r>
      <w:r>
        <w:t xml:space="preserve">Criterios de la vida / período estándar / duración                              </w:t>
      </w:r>
      <w:r>
        <w:br/>
      </w:r>
      <w:r>
        <w:t xml:space="preserve">“Opinión o estado de vida”</w:t>
      </w:r>
      <w:r>
        <w:t xml:space="preserve"> </w:t>
      </w:r>
      <w:r>
        <w:t xml:space="preserve">Tests / excepciones / hallazgos |                                                                                                                            </w:t>
      </w:r>
      <w:r>
        <w:t xml:space="preserve"> </w:t>
      </w:r>
      <w:r>
        <w:t xml:space="preserve">TENIDOS DE LAS CUESTIONES DEL cliente |                                                                                                                          </w:t>
      </w:r>
      <w:r>
        <w:t xml:space="preserve"> </w:t>
      </w:r>
      <w:r>
        <w:t xml:space="preserve">“Las organizaciones de subservicio en la vida”</w:t>
      </w:r>
      <w:r>
        <w:t xml:space="preserve"> </w:t>
      </w:r>
      <w:r>
        <w:t xml:space="preserve">Subsequent events / changes                      </w:t>
      </w:r>
      <w:r>
        <w:br/>
      </w:r>
      <w:r>
        <w:t xml:space="preserve">“Aplicabilidad a nuestro uso”</w:t>
      </w:r>
      <w:r>
        <w:t xml:space="preserve"> </w:t>
      </w:r>
      <w:r>
        <w:t xml:space="preserve">Н Gaps / action / retest ⋅                            </w:t>
      </w:r>
    </w:p>
    <w:bookmarkEnd w:id="96"/>
    <w:bookmarkStart w:id="97" w:name="registro-de-búsqueda-y-excepción"/>
    <w:p>
      <w:pPr>
        <w:pStyle w:val="Heading2"/>
      </w:pPr>
      <w:r>
        <w:t xml:space="preserve">30.4 Registro de búsqueda y excepción</w:t>
      </w:r>
    </w:p>
    <w:p>
      <w:pPr>
        <w:pStyle w:val="FirstParagraph"/>
      </w:pPr>
      <w:r>
        <w:t xml:space="preserve">|** |</w:t>
      </w:r>
      <w:r>
        <w:t xml:space="preserve"> </w:t>
      </w:r>
      <w:r>
        <w:t xml:space="preserve">|… |</w:t>
      </w:r>
      <w:r>
        <w:t xml:space="preserve"> </w:t>
      </w:r>
      <w:r>
        <w:t xml:space="preserve">“Princes Criteria”</w:t>
      </w:r>
      <w:r>
        <w:t xml:space="preserve"> </w:t>
      </w:r>
      <w:r>
        <w:t xml:space="preserve">“Acondicionamiento/población / evidencia”</w:t>
      </w:r>
      <w:r>
        <w:t xml:space="preserve"> </w:t>
      </w:r>
      <w:r>
        <w:t xml:space="preserve">El escenario de riesgo de muerte/el impacto de la vida                       </w:t>
      </w:r>
      <w:r>
        <w:br/>
      </w:r>
      <w:r>
        <w:t xml:space="preserve">| Cause / uncertainty |                               </w:t>
      </w:r>
      <w:r>
        <w:br/>
      </w:r>
      <w:r>
        <w:t xml:space="preserve">“Acción permanente / protección provisional”</w:t>
      </w:r>
      <w:r>
        <w:t xml:space="preserve"> </w:t>
      </w:r>
      <w:r>
        <w:t xml:space="preserve">“Prisionista de la vida”</w:t>
      </w:r>
      <w:r>
        <w:t xml:space="preserve"> </w:t>
      </w:r>
      <w:r>
        <w:t xml:space="preserve">“Aprudente de la Excepción”</w:t>
      </w:r>
      <w:r>
        <w:t xml:space="preserve"> </w:t>
      </w:r>
      <w:r>
        <w:t xml:space="preserve">“La vigilancia de la vida / el gatillo”</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97"/>
    <w:bookmarkStart w:id="98"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98"/>
    <w:bookmarkStart w:id="99" w:name="glosario"/>
    <w:p>
      <w:pPr>
        <w:pStyle w:val="Heading2"/>
      </w:pPr>
      <w:r>
        <w:t xml:space="preserve">30.6 Glosario</w:t>
      </w:r>
    </w:p>
    <w:p>
      <w:pPr>
        <w:pStyle w:val="FirstParagraph"/>
      </w:pPr>
      <w:r>
        <w:t xml:space="preserve">|** |</w:t>
      </w:r>
      <w:r>
        <w:t xml:space="preserve"> </w:t>
      </w:r>
      <w:r>
        <w:t xml:space="preserve">|… |</w:t>
      </w:r>
      <w:r>
        <w:t xml:space="preserve"> </w:t>
      </w:r>
      <w:r>
        <w:t xml:space="preserve">| Attestation |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 Exposición creada cuando varios servicios críticos dependen del mismo proveedor, lugar, tecnología o recurso.</w:t>
      </w:r>
      <w:r>
        <w:t xml:space="preserve"> </w:t>
      </w:r>
      <w:r>
        <w:t xml:space="preserve">TEN CUEC | Control complementario de la entidad de usuario: se espera que el cliente realice un control para alcanzar los objetivos del informe. |</w:t>
      </w:r>
      <w:r>
        <w:t xml:space="preserve"> </w:t>
      </w:r>
      <w:r>
        <w:t xml:space="preserve">tención debida diligencia | Investigación investigativa de la información pertinente del proveedor o producto para una decisión informada. |</w:t>
      </w:r>
      <w:r>
        <w:t xml:space="preserve"> </w:t>
      </w:r>
      <w:r>
        <w:t xml:space="preserve">| Primera parte La organización que gestiona su propio riesgo. |</w:t>
      </w:r>
      <w:r>
        <w:t xml:space="preserve"> </w:t>
      </w:r>
      <w:r>
        <w:t xml:space="preserve">TEN FOCI | La propiedad, el control o la influencia extranjeras. |</w:t>
      </w:r>
      <w:r>
        <w:t xml:space="preserve"> </w:t>
      </w:r>
      <w:r>
        <w:t xml:space="preserve">| Cuarta Parte | Un proveedor o dependencia utilizado por el tercero de la organización. |</w:t>
      </w:r>
      <w:r>
        <w:t xml:space="preserve"> </w:t>
      </w:r>
      <w:r>
        <w:t xml:space="preserve">tención Riesgo hereditario tención riesgo antes de considerar controles o tratamiento. |</w:t>
      </w:r>
      <w:r>
        <w:t xml:space="preserve"> </w:t>
      </w:r>
      <w:r>
        <w:t xml:space="preserve">← Provenencia | Origen rastreable e historia de un producto, componente, código, datos o proceso.</w:t>
      </w:r>
      <w:r>
        <w:t xml:space="preserve"> </w:t>
      </w:r>
      <w:r>
        <w:t xml:space="preserve">| Riesgo residual | El riesgo permanece después del tratamiento.</w:t>
      </w:r>
      <w:r>
        <w:t xml:space="preserve"> </w:t>
      </w:r>
      <w:r>
        <w:t xml:space="preserve">tención de riesgo | Cantidad y tipo de riesgo que una organización está dispuesta a perseguir o retener. |</w:t>
      </w:r>
      <w:r>
        <w:t xml:space="preserve"> </w:t>
      </w:r>
      <w:r>
        <w:t xml:space="preserve">TEN SBOM | Proyecto de ley de materiales: un inventario de componentes estructurado.</w:t>
      </w:r>
      <w:r>
        <w:t xml:space="preserve"> </w:t>
      </w:r>
      <w:r>
        <w:t xml:space="preserve">| Subprocesador | Una parte comprometida por un procesador para procesar datos personales. |</w:t>
      </w:r>
      <w:r>
        <w:t xml:space="preserve"> </w:t>
      </w:r>
      <w:r>
        <w:t xml:space="preserve">| Una organización externa, producto, servicio o persona que apoye a la organización. |</w:t>
      </w:r>
      <w:r>
        <w:t xml:space="preserve"> </w:t>
      </w:r>
      <w:r>
        <w:t xml:space="preserve">TENER TPRM | Gestión del riesgo de terceros a través del ciclo de vida de relación.</w:t>
      </w:r>
    </w:p>
    <w:bookmarkEnd w:id="99"/>
    <w:bookmarkStart w:id="100" w:name="subject-index"/>
    <w:p>
      <w:pPr>
        <w:pStyle w:val="Heading2"/>
      </w:pPr>
      <w:r>
        <w:t xml:space="preserve">30.7 Subject index</w:t>
      </w:r>
    </w:p>
    <w:p>
      <w:pPr>
        <w:pStyle w:val="FirstParagraph"/>
      </w:pPr>
      <w:r>
        <w:t xml:space="preserve">Subjeto**</w:t>
      </w:r>
      <w:r>
        <w:t xml:space="preserve"> </w:t>
      </w:r>
      <w:r>
        <w:t xml:space="preserve">|… |</w:t>
      </w:r>
      <w:r>
        <w:t xml:space="preserve"> </w:t>
      </w:r>
      <w:r>
        <w:t xml:space="preserve">Silenciosos vendedores de inteligencia artificial</w:t>
      </w:r>
      <w:r>
        <w:t xml:space="preserve"> </w:t>
      </w:r>
      <w:r>
        <w:t xml:space="preserve">| Nube / SaaS |</w:t>
      </w:r>
      <w:r>
        <w:t xml:space="preserve"> </w:t>
      </w:r>
      <w:r>
        <w:t xml:space="preserve">Silencioso Concentración</w:t>
      </w:r>
      <w:r>
        <w:t xml:space="preserve"> </w:t>
      </w:r>
      <w:r>
        <w:t xml:space="preserve">| LOS CONTRATOS | 9, 30</w:t>
      </w:r>
      <w:r>
        <w:t xml:space="preserve"> </w:t>
      </w:r>
      <w:r>
        <w:t xml:space="preserve">Silencioso</w:t>
      </w:r>
      <w:r>
        <w:t xml:space="preserve"> </w:t>
      </w:r>
      <w:r>
        <w:t xml:space="preserve">Evidencia en la vida 7, 23</w:t>
      </w:r>
      <w:r>
        <w:t xml:space="preserve"> </w:t>
      </w:r>
      <w:r>
        <w:t xml:space="preserve">← Exit | 19, 30</w:t>
      </w:r>
      <w:r>
        <w:t xml:space="preserve"> </w:t>
      </w:r>
      <w:r>
        <w:t xml:space="preserve">| cuartos de las partes |</w:t>
      </w:r>
      <w:r>
        <w:t xml:space="preserve"> </w:t>
      </w:r>
      <w:r>
        <w:t xml:space="preserve">Silenciosos incidentes</w:t>
      </w:r>
      <w:r>
        <w:t xml:space="preserve"> </w:t>
      </w:r>
      <w:r>
        <w:t xml:space="preserve">| Inventario / Tiering | 4</w:t>
      </w:r>
      <w:r>
        <w:t xml:space="preserve"> </w:t>
      </w:r>
      <w:r>
        <w:t xml:space="preserve">Silencioso analista junior</w:t>
      </w:r>
      <w:r>
        <w:t xml:space="preserve"> </w:t>
      </w:r>
      <w:r>
        <w:t xml:space="preserve">TENCIÓN TERRITORIO | 23, 25 ANTE</w:t>
      </w:r>
      <w:r>
        <w:t xml:space="preserve"> </w:t>
      </w:r>
      <w:r>
        <w:t xml:space="preserve">| NIST CSF GV.SC | 20 |</w:t>
      </w:r>
      <w:r>
        <w:t xml:space="preserve"> </w:t>
      </w:r>
      <w:r>
        <w:t xml:space="preserve">TEN TERRITORIO NIST SP 1326 Silencioso 6, 21</w:t>
      </w:r>
      <w:r>
        <w:t xml:space="preserve"> </w:t>
      </w:r>
      <w:r>
        <w:t xml:space="preserve">| Herramientas de código abierto | 24 |</w:t>
      </w:r>
      <w:r>
        <w:t xml:space="preserve"> </w:t>
      </w:r>
      <w:r>
        <w:t xml:space="preserve">confidencialidad | 18</w:t>
      </w:r>
      <w:r>
        <w:t xml:space="preserve"> </w:t>
      </w:r>
      <w:r>
        <w:t xml:space="preserve">| ANTERIOR DE PRESUPUESTO |</w:t>
      </w:r>
      <w:r>
        <w:t xml:space="preserve"> </w:t>
      </w:r>
      <w:r>
        <w:t xml:space="preserve">| SBOM / software | 16, 24 |</w:t>
      </w:r>
      <w:r>
        <w:t xml:space="preserve"> </w:t>
      </w:r>
      <w:r>
        <w:t xml:space="preserve">| SOC 2 / ISO evidencia | 7 |</w:t>
      </w:r>
      <w:r>
        <w:t xml:space="preserve"> </w:t>
      </w:r>
      <w:r>
        <w:t xml:space="preserve">Silencioso de la vigilancia de los proveedores</w:t>
      </w:r>
    </w:p>
    <w:bookmarkEnd w:id="100"/>
    <w:bookmarkStart w:id="104"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01">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02">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03">
        <w:r>
          <w:rPr>
            <w:rStyle w:val="Hyperlink"/>
          </w:rPr>
          <w:t xml:space="preserve">Normativa de verificación de componentes de software de XZO</w:t>
        </w:r>
      </w:hyperlink>
    </w:p>
    <w:p>
      <w:pPr>
        <w:pStyle w:val="BodyText"/>
      </w:pPr>
      <w:r>
        <w:t xml:space="preserve">[ ]](https://www.bestpractices.dev/)</w:t>
      </w:r>
    </w:p>
    <w:p>
      <w:pPr>
        <w:pStyle w:val="BodyText"/>
      </w:pPr>
      <w:r>
        <w:rPr>
          <w:b/>
          <w:bCs/>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w:t>
      </w:r>
    </w:p>
    <w:p>
      <w:pPr>
        <w:pStyle w:val="BodyText"/>
      </w:pPr>
      <w:r>
        <w:t xml:space="preserve">|. |</w:t>
      </w:r>
    </w:p>
    <w:bookmarkEnd w:id="104"/>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1" Target="https://csrc.nist.gov/pubs/sp/800/18/r2/final" TargetMode="External" /><Relationship Type="http://schemas.openxmlformats.org/officeDocument/2006/relationships/hyperlink" Id="rId51" Target="https://cyclonedx.org/" TargetMode="External" /><Relationship Type="http://schemas.openxmlformats.org/officeDocument/2006/relationships/hyperlink" Id="rId55" Target="https://github.com/anchore/grype" TargetMode="External" /><Relationship Type="http://schemas.openxmlformats.org/officeDocument/2006/relationships/hyperlink" Id="rId53" Target="https://github.com/anchore/syft" TargetMode="External" /><Relationship Type="http://schemas.openxmlformats.org/officeDocument/2006/relationships/hyperlink" Id="rId61" Target="https://guac.sh/" TargetMode="External" /><Relationship Type="http://schemas.openxmlformats.org/officeDocument/2006/relationships/hyperlink" Id="rId48" Target="https://intuitem.github.io/ciso-assistant-community/" TargetMode="External" /><Relationship Type="http://schemas.openxmlformats.org/officeDocument/2006/relationships/hyperlink" Id="rId72" Target="https://nmap.org/" TargetMode="External" /><Relationship Type="http://schemas.openxmlformats.org/officeDocument/2006/relationships/hyperlink" Id="rId59" Target="https://scorecard.dev/" TargetMode="External" /><Relationship Type="http://schemas.openxmlformats.org/officeDocument/2006/relationships/hyperlink" Id="rId103" Target="https://scvs.owasp.org/" TargetMode="External" /><Relationship Type="http://schemas.openxmlformats.org/officeDocument/2006/relationships/hyperlink" Id="rId57" Target="https://trivy.dev/" TargetMode="External" /><Relationship Type="http://schemas.openxmlformats.org/officeDocument/2006/relationships/hyperlink" Id="rId66" Target="https://wazuh.com/" TargetMode="External" /><Relationship Type="http://schemas.openxmlformats.org/officeDocument/2006/relationships/hyperlink" Id="rId64" Target="https://www.defectdojo.org/" TargetMode="External" /><Relationship Type="http://schemas.openxmlformats.org/officeDocument/2006/relationships/hyperlink" Id="rId68" Target="https://www.keycloak.org/" TargetMode="External" /><Relationship Type="http://schemas.openxmlformats.org/officeDocument/2006/relationships/hyperlink" Id="rId102" Target="https://www.nist.gov/cyberframework" TargetMode="External" /><Relationship Type="http://schemas.openxmlformats.org/officeDocument/2006/relationships/hyperlink" Id="rId7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01" Target="https://csrc.nist.gov/pubs/sp/800/18/r2/final" TargetMode="External" /><Relationship Type="http://schemas.openxmlformats.org/officeDocument/2006/relationships/hyperlink" Id="rId51" Target="https://cyclonedx.org/" TargetMode="External" /><Relationship Type="http://schemas.openxmlformats.org/officeDocument/2006/relationships/hyperlink" Id="rId55" Target="https://github.com/anchore/grype" TargetMode="External" /><Relationship Type="http://schemas.openxmlformats.org/officeDocument/2006/relationships/hyperlink" Id="rId53" Target="https://github.com/anchore/syft" TargetMode="External" /><Relationship Type="http://schemas.openxmlformats.org/officeDocument/2006/relationships/hyperlink" Id="rId61" Target="https://guac.sh/" TargetMode="External" /><Relationship Type="http://schemas.openxmlformats.org/officeDocument/2006/relationships/hyperlink" Id="rId48" Target="https://intuitem.github.io/ciso-assistant-community/" TargetMode="External" /><Relationship Type="http://schemas.openxmlformats.org/officeDocument/2006/relationships/hyperlink" Id="rId72" Target="https://nmap.org/" TargetMode="External" /><Relationship Type="http://schemas.openxmlformats.org/officeDocument/2006/relationships/hyperlink" Id="rId59" Target="https://scorecard.dev/" TargetMode="External" /><Relationship Type="http://schemas.openxmlformats.org/officeDocument/2006/relationships/hyperlink" Id="rId103" Target="https://scvs.owasp.org/" TargetMode="External" /><Relationship Type="http://schemas.openxmlformats.org/officeDocument/2006/relationships/hyperlink" Id="rId57" Target="https://trivy.dev/" TargetMode="External" /><Relationship Type="http://schemas.openxmlformats.org/officeDocument/2006/relationships/hyperlink" Id="rId66" Target="https://wazuh.com/" TargetMode="External" /><Relationship Type="http://schemas.openxmlformats.org/officeDocument/2006/relationships/hyperlink" Id="rId64" Target="https://www.defectdojo.org/" TargetMode="External" /><Relationship Type="http://schemas.openxmlformats.org/officeDocument/2006/relationships/hyperlink" Id="rId68" Target="https://www.keycloak.org/" TargetMode="External" /><Relationship Type="http://schemas.openxmlformats.org/officeDocument/2006/relationships/hyperlink" Id="rId102" Target="https://www.nist.gov/cyberframework" TargetMode="External" /><Relationship Type="http://schemas.openxmlformats.org/officeDocument/2006/relationships/hyperlink" Id="rId7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2026-07-28T18:04:13Z</dcterms:created>
  <dcterms:modified xsi:type="dcterms:W3CDTF">2026-07-28T18:04:13Z</dcterms:modified>
</cp:coreProperties>
</file>

<file path=docProps/custom.xml><?xml version="1.0" encoding="utf-8"?>
<Properties xmlns="http://schemas.openxmlformats.org/officeDocument/2006/custom-properties" xmlns:vt="http://schemas.openxmlformats.org/officeDocument/2006/docPropsVTypes"/>
</file>