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6.png" ContentType="image/png"/>
  <Override PartName="/word/media/rId26.png" ContentType="image/png"/>
  <Override PartName="/word/media/rId34.png" ContentType="image/png"/>
  <Override PartName="/word/media/rId45.png" ContentType="image/png"/>
  <Override PartName="/word/media/rId51.png" ContentType="image/png"/>
  <Override PartName="/word/media/rId6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0"/>
    <w:bookmarkStart w:id="4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1"/>
    <w:bookmarkStart w:id="4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2"/>
    <w:bookmarkStart w:id="4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3"/>
    <w:bookmarkStart w:id="4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4"/>
    <w:bookmarkStart w:id="50" w:name="Xa894af05b3af31fdf2a084a9cec3813ac700e27"/>
    <w:p>
      <w:pPr>
        <w:pStyle w:val="Heading1"/>
      </w:pPr>
      <w:r>
        <w:t xml:space="preserve">11. Controle 6 — Gerenciamento de Controle de Acesso</w:t>
      </w:r>
    </w:p>
    <w:p>
      <w:pPr>
        <w:numPr>
          <w:ilvl w:val="0"/>
          <w:numId w:val="1014"/>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46" name="Picture"/>
            <a:graphic>
              <a:graphicData uri="http://schemas.openxmlformats.org/drawingml/2006/picture">
                <pic:pic>
                  <pic:nvPicPr>
                    <pic:cNvPr descr="media/image6.png" id="47" name="Picture"/>
                    <pic:cNvPicPr>
                      <a:picLocks noChangeArrowheads="1" noChangeAspect="1"/>
                    </pic:cNvPicPr>
                  </pic:nvPicPr>
                  <pic:blipFill>
                    <a:blip r:embed="rId45"/>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48" w:name="Xcabd0b0a654464b8c9f73c37431732309c07dc8"/>
    <w:p>
      <w:pPr>
        <w:pStyle w:val="Heading2"/>
      </w:pPr>
      <w:r>
        <w:t xml:space="preserve">. ** Finalidade do controlo: ** Reforçar a empresa através da implementação e medição de salvaguardas para a gestão do controlo de acesso. □</w:t>
      </w:r>
    </w:p>
    <w:bookmarkEnd w:id="48"/>
    <w:bookmarkStart w:id="49" w:name="section-1"/>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9"/>
    <w:bookmarkEnd w:id="50"/>
    <w:bookmarkStart w:id="55" w:name="Xc417a421edbe5d2e6b240c7d3d615c29c5a6aa2"/>
    <w:p>
      <w:pPr>
        <w:pStyle w:val="Heading1"/>
      </w:pPr>
      <w:r>
        <w:t xml:space="preserve">12. Controle 7 — Gestão de Vulnerabilidade Contínua</w:t>
      </w:r>
    </w:p>
    <w:p>
      <w:pPr>
        <w:numPr>
          <w:ilvl w:val="0"/>
          <w:numId w:val="1015"/>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52" name="Picture"/>
            <a:graphic>
              <a:graphicData uri="http://schemas.openxmlformats.org/drawingml/2006/picture">
                <pic:pic>
                  <pic:nvPicPr>
                    <pic:cNvPr descr="media/image7.png" id="53" name="Picture"/>
                    <pic:cNvPicPr>
                      <a:picLocks noChangeArrowheads="1" noChangeAspect="1"/>
                    </pic:cNvPicPr>
                  </pic:nvPicPr>
                  <pic:blipFill>
                    <a:blip r:embed="rId51"/>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54" w:name="section-2"/>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X5849b052f89f1dbd6d1795dfe10269d3f72715f"/>
    <w:p>
      <w:pPr>
        <w:pStyle w:val="Heading1"/>
      </w:pPr>
      <w:r>
        <w:t xml:space="preserve">13. Controle 8 — Gestão do Registo de Auditoria</w:t>
      </w:r>
    </w:p>
    <w:p>
      <w:pPr>
        <w:numPr>
          <w:ilvl w:val="0"/>
          <w:numId w:val="1016"/>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56" w:name="section-3"/>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efeb98fc2df86833b12ebf88d7ca750829aa89f"/>
    <w:p>
      <w:pPr>
        <w:pStyle w:val="Heading1"/>
      </w:pPr>
      <w:r>
        <w:t xml:space="preserve">14. Controle 9 — Email e Proteção de Navegador Web</w:t>
      </w:r>
    </w:p>
    <w:p>
      <w:pPr>
        <w:numPr>
          <w:ilvl w:val="0"/>
          <w:numId w:val="1017"/>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8" w:name="section-4"/>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controle-10-defesas-de-malware"/>
    <w:p>
      <w:pPr>
        <w:pStyle w:val="Heading1"/>
      </w:pPr>
      <w:r>
        <w:t xml:space="preserve">15. Controle 10 — Defesas de Malware</w:t>
      </w:r>
    </w:p>
    <w:p>
      <w:pPr>
        <w:numPr>
          <w:ilvl w:val="0"/>
          <w:numId w:val="1018"/>
        </w:numPr>
        <w:pStyle w:val="Compact"/>
      </w:pPr>
      <w:r>
        <w:t xml:space="preserve">Todas as 7 Salvaguardas, significado simples, foco de verificação e evidência de exemplo.*</w:t>
      </w:r>
    </w:p>
    <w:bookmarkStart w:id="60" w:name="X31cb3c27ed506a61c5b7a87832510fc038b08f1"/>
    <w:p>
      <w:pPr>
        <w:pStyle w:val="Heading2"/>
      </w:pPr>
      <w:r>
        <w:t xml:space="preserve">. ** Finalidade do controlo: ** Fortaleça a empresa implementando e medindo salvaguardas para defesas de malware. □</w:t>
      </w:r>
    </w:p>
    <w:bookmarkEnd w:id="60"/>
    <w:bookmarkStart w:id="61" w:name="section-5"/>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5" w:name="controle-11-recuperação-de-dados"/>
    <w:p>
      <w:pPr>
        <w:pStyle w:val="Heading1"/>
      </w:pPr>
      <w:r>
        <w:t xml:space="preserve">16. Controle 11 — Recuperação de dados</w:t>
      </w:r>
    </w:p>
    <w:p>
      <w:pPr>
        <w:numPr>
          <w:ilvl w:val="0"/>
          <w:numId w:val="1019"/>
        </w:numPr>
        <w:pStyle w:val="Compact"/>
      </w:pPr>
      <w:r>
        <w:t xml:space="preserve">Todas as 5 Salvaguardas, significado simples, foco de verificação e evidência de exemplo.*</w:t>
      </w:r>
    </w:p>
    <w:bookmarkStart w:id="63" w:name="X015b0bcfd91b54beae9ac352c972dc96fc365b8"/>
    <w:p>
      <w:pPr>
        <w:pStyle w:val="Heading2"/>
      </w:pPr>
      <w:r>
        <w:t xml:space="preserve">. ** Finalidade do controlo: ** Reforçar a empresa através da implementação e medição de salvaguardas para a recuperação de dados. □</w:t>
      </w:r>
    </w:p>
    <w:bookmarkEnd w:id="63"/>
    <w:bookmarkStart w:id="64" w:name="section-6"/>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4"/>
    <w:bookmarkEnd w:id="65"/>
    <w:bookmarkStart w:id="67" w:name="X1d5309c9ab119912d099fb58d981b232220432a"/>
    <w:p>
      <w:pPr>
        <w:pStyle w:val="Heading1"/>
      </w:pPr>
      <w:r>
        <w:t xml:space="preserve">17. Controle 12 — Gestão de Infraestruturas de Rede</w:t>
      </w:r>
    </w:p>
    <w:p>
      <w:pPr>
        <w:numPr>
          <w:ilvl w:val="0"/>
          <w:numId w:val="1020"/>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66" w:name="section-7"/>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3" w:name="X76e070d17354a7fbaf7b14d1946632e2442e03e"/>
    <w:p>
      <w:pPr>
        <w:pStyle w:val="Heading1"/>
      </w:pPr>
      <w:r>
        <w:t xml:space="preserve">18. Controle 13 — Monitoramento e Defesa de Rede</w:t>
      </w:r>
    </w:p>
    <w:p>
      <w:pPr>
        <w:numPr>
          <w:ilvl w:val="0"/>
          <w:numId w:val="1021"/>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69" name="Picture"/>
            <a:graphic>
              <a:graphicData uri="http://schemas.openxmlformats.org/drawingml/2006/picture">
                <pic:pic>
                  <pic:nvPicPr>
                    <pic:cNvPr descr="media/image8.png" id="70" name="Picture"/>
                    <pic:cNvPicPr>
                      <a:picLocks noChangeArrowheads="1" noChangeAspect="1"/>
                    </pic:cNvPicPr>
                  </pic:nvPicPr>
                  <pic:blipFill>
                    <a:blip r:embed="rId68"/>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71" w:name="X22f40d2393e260a55234d876d291e3404ab7edf"/>
    <w:p>
      <w:pPr>
        <w:pStyle w:val="Heading2"/>
      </w:pPr>
      <w:r>
        <w:t xml:space="preserve">. ** Finalidade do controlo: ** Fortalecer a empresa implementando e medindo salvaguardas para monitoramento e defesa da rede. □</w:t>
      </w:r>
    </w:p>
    <w:bookmarkEnd w:id="71"/>
    <w:bookmarkStart w:id="72" w:name="section-8"/>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X81d6d7f1ac6530f3beb43689d4d7b8360b58626"/>
    <w:p>
      <w:pPr>
        <w:pStyle w:val="Heading1"/>
      </w:pPr>
      <w:r>
        <w:t xml:space="preserve">19. Controle 14 — Sensibilização de Segurança e Treinamento de Habilidades</w:t>
      </w:r>
    </w:p>
    <w:p>
      <w:pPr>
        <w:numPr>
          <w:ilvl w:val="0"/>
          <w:numId w:val="1022"/>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74" w:name="section-9"/>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Xd49ca9d8e48ed88f948967f818255b91d398ae1"/>
    <w:p>
      <w:pPr>
        <w:pStyle w:val="Heading1"/>
      </w:pPr>
      <w:r>
        <w:t xml:space="preserve">20. Controle 15 — Gestão de Prestadores de Serviços</w:t>
      </w:r>
    </w:p>
    <w:p>
      <w:pPr>
        <w:numPr>
          <w:ilvl w:val="0"/>
          <w:numId w:val="1023"/>
        </w:numPr>
        <w:pStyle w:val="Compact"/>
      </w:pPr>
      <w:r>
        <w:t xml:space="preserve">Todas as 7 Salvaguardas, significado simples, foco de verificação e evidência de exemplo.*</w:t>
      </w:r>
    </w:p>
    <w:bookmarkStart w:id="76" w:name="X5f013bca2048707228eec070712629866b16068"/>
    <w:p>
      <w:pPr>
        <w:pStyle w:val="Heading2"/>
      </w:pPr>
      <w:r>
        <w:t xml:space="preserve">. ** Finalidade do controlo: ** Reforçar a empresa através da implementação e medição de salvaguardas para a gestão dos prestadores de serviços. □</w:t>
      </w:r>
    </w:p>
    <w:bookmarkEnd w:id="76"/>
    <w:bookmarkStart w:id="77" w:name="section-10"/>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1" w:name="X462f3600ff91c676cd671f9a1a14212099b1516"/>
    <w:p>
      <w:pPr>
        <w:pStyle w:val="Heading1"/>
      </w:pPr>
      <w:r>
        <w:t xml:space="preserve">21. Controle 16 — Segurança de Software de Aplicação</w:t>
      </w:r>
    </w:p>
    <w:p>
      <w:pPr>
        <w:numPr>
          <w:ilvl w:val="0"/>
          <w:numId w:val="1024"/>
        </w:numPr>
        <w:pStyle w:val="Compact"/>
      </w:pPr>
      <w:r>
        <w:t xml:space="preserve">Todas as 14 Salvaguardas, significado simples, foco de verificação e evidência de exemplo.*</w:t>
      </w:r>
    </w:p>
    <w:bookmarkStart w:id="79" w:name="Xb7560af9d2f4820a82522d131c5cd8c21e87fde"/>
    <w:p>
      <w:pPr>
        <w:pStyle w:val="Heading2"/>
      </w:pPr>
      <w:r>
        <w:t xml:space="preserve">. ** Finalidade do controlo: ** Fortaleça a empresa implementando e medindo salvaguardas para segurança de software de aplicação. □</w:t>
      </w:r>
    </w:p>
    <w:bookmarkEnd w:id="79"/>
    <w:bookmarkStart w:id="80" w:name="section-11"/>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0"/>
    <w:bookmarkEnd w:id="81"/>
    <w:bookmarkStart w:id="87" w:name="X27cfe67134368280dae13341561ec0ab8773f97"/>
    <w:p>
      <w:pPr>
        <w:pStyle w:val="Heading1"/>
      </w:pPr>
      <w:r>
        <w:t xml:space="preserve">22. Controle 17 — Gestão de Respostas a Incidentes</w:t>
      </w:r>
    </w:p>
    <w:p>
      <w:pPr>
        <w:numPr>
          <w:ilvl w:val="0"/>
          <w:numId w:val="1025"/>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83" name="Picture"/>
            <a:graphic>
              <a:graphicData uri="http://schemas.openxmlformats.org/drawingml/2006/picture">
                <pic:pic>
                  <pic:nvPicPr>
                    <pic:cNvPr descr="media/image9.png" id="84" name="Picture"/>
                    <pic:cNvPicPr>
                      <a:picLocks noChangeArrowheads="1" noChangeAspect="1"/>
                    </pic:cNvPicPr>
                  </pic:nvPicPr>
                  <pic:blipFill>
                    <a:blip r:embed="rId82"/>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85" w:name="Xeb4c58f7274f8cbcfdddfb393279b429f14d52c"/>
    <w:p>
      <w:pPr>
        <w:pStyle w:val="Heading2"/>
      </w:pPr>
      <w:r>
        <w:t xml:space="preserve">. ** Finalidade do controlo: ** Reforçar a empresa através da implementação e medição de salvaguardas para a gestão da resposta a incidentes. □</w:t>
      </w:r>
    </w:p>
    <w:bookmarkEnd w:id="85"/>
    <w:bookmarkStart w:id="86" w:name="section-12"/>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6"/>
    <w:bookmarkEnd w:id="87"/>
    <w:bookmarkStart w:id="89" w:name="controle-18-testes-de-penetração"/>
    <w:p>
      <w:pPr>
        <w:pStyle w:val="Heading1"/>
      </w:pPr>
      <w:r>
        <w:t xml:space="preserve">23. Controle 18 — Testes de penetração</w:t>
      </w:r>
    </w:p>
    <w:p>
      <w:pPr>
        <w:numPr>
          <w:ilvl w:val="0"/>
          <w:numId w:val="1026"/>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88" w:name="section-13"/>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8"/>
    <w:bookmarkEnd w:id="89"/>
    <w:bookmarkStart w:id="91" w:name="ferramentas-de-código-aberto"/>
    <w:p>
      <w:pPr>
        <w:pStyle w:val="Heading1"/>
      </w:pPr>
      <w:r>
        <w:t xml:space="preserve">24. Ferramentas de Código Aberto</w:t>
      </w:r>
    </w:p>
    <w:p>
      <w:pPr>
        <w:numPr>
          <w:ilvl w:val="0"/>
          <w:numId w:val="1027"/>
        </w:numPr>
        <w:pStyle w:val="Compact"/>
      </w:pPr>
      <w:r>
        <w:t xml:space="preserve">Links oficiais, inícios rápidos seguros, evidências e limitações.*</w:t>
      </w:r>
    </w:p>
    <w:bookmarkStart w:id="90"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90"/>
    <w:bookmarkEnd w:id="91"/>
    <w:bookmarkStart w:id="93"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92">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93"/>
    <w:bookmarkStart w:id="95"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94">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cis-cat-lite"/>
    <w:p>
      <w:pPr>
        <w:pStyle w:val="Heading1"/>
      </w:pPr>
      <w:r>
        <w:t xml:space="preserve"># 24,3 CIS-CAT Lite</w:t>
      </w:r>
    </w:p>
    <w:p>
      <w:pPr>
        <w:pStyle w:val="FirstParagraph"/>
      </w:pPr>
      <w:r>
        <w:t xml:space="preserve">Objetivo: CIS selecionado Avaliação comparativa. Projecto oficial:</w:t>
      </w:r>
      <w:r>
        <w:t xml:space="preserve"> </w:t>
      </w:r>
      <w:hyperlink r:id="rId96">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98">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wazuh"/>
    <w:p>
      <w:pPr>
        <w:pStyle w:val="Heading1"/>
      </w:pPr>
      <w:r>
        <w:t xml:space="preserve">24.5 Wazuh</w:t>
      </w:r>
    </w:p>
    <w:p>
      <w:pPr>
        <w:pStyle w:val="FirstParagraph"/>
      </w:pPr>
      <w:r>
        <w:t xml:space="preserve">Objetivo: Monitoramento de pontos finais, SIEM, MIF e alertas. Projecto oficial:</w:t>
      </w:r>
      <w:r>
        <w:t xml:space="preserve"> </w:t>
      </w:r>
      <w:hyperlink r:id="rId100">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02">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7" w:name="openscap"/>
    <w:p>
      <w:pPr>
        <w:pStyle w:val="Heading1"/>
      </w:pPr>
      <w:r>
        <w:t xml:space="preserve"># 24.7 OpenSCAP</w:t>
      </w:r>
    </w:p>
    <w:p>
      <w:pPr>
        <w:pStyle w:val="FirstParagraph"/>
      </w:pPr>
      <w:r>
        <w:t xml:space="preserve">Objetivo: Avaliação da configuração segura do Linux. Projeto oficial:</w:t>
      </w:r>
      <w:r>
        <w:t xml:space="preserve"> </w:t>
      </w:r>
      <w:hyperlink r:id="rId104">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06" w:name="lynis"/>
    <w:p>
      <w:pPr>
        <w:pStyle w:val="Heading2"/>
      </w:pPr>
      <w:r>
        <w:t xml:space="preserve">24.8 Lynis</w:t>
      </w:r>
    </w:p>
    <w:p>
      <w:pPr>
        <w:pStyle w:val="FirstParagraph"/>
      </w:pPr>
      <w:r>
        <w:t xml:space="preserve">Objetivo: Auditoria de segurança Linux. Projeto oficial:</w:t>
      </w:r>
      <w:r>
        <w:t xml:space="preserve"> </w:t>
      </w:r>
      <w:hyperlink r:id="rId105">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End w:id="107"/>
    <w:bookmarkStart w:id="109" w:name="nmap"/>
    <w:p>
      <w:pPr>
        <w:pStyle w:val="Heading1"/>
      </w:pPr>
      <w:r>
        <w:t xml:space="preserve"># 24.9 Nmap</w:t>
      </w:r>
    </w:p>
    <w:p>
      <w:pPr>
        <w:pStyle w:val="FirstParagraph"/>
      </w:pPr>
      <w:r>
        <w:t xml:space="preserve">Finalidade: Activo autorizado e descoberta de serviços. Projeto oficial:</w:t>
      </w:r>
      <w:r>
        <w:t xml:space="preserve"> </w:t>
      </w:r>
      <w:hyperlink r:id="rId108">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10">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11"/>
    <w:bookmarkStart w:id="113" w:name="trivy"/>
    <w:p>
      <w:pPr>
        <w:pStyle w:val="Heading1"/>
      </w:pPr>
      <w:r>
        <w:t xml:space="preserve"># 24.11 Trivy</w:t>
      </w:r>
    </w:p>
    <w:p>
      <w:pPr>
        <w:pStyle w:val="FirstParagraph"/>
      </w:pPr>
      <w:r>
        <w:t xml:space="preserve">Objetivo: Repositórios, imagens, dependências, segredos e IAC. Projeto oficial:</w:t>
      </w:r>
      <w:r>
        <w:t xml:space="preserve"> </w:t>
      </w:r>
      <w:hyperlink r:id="rId112">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13"/>
    <w:bookmarkStart w:id="115" w:name="owasp-zap"/>
    <w:p>
      <w:pPr>
        <w:pStyle w:val="Heading1"/>
      </w:pPr>
      <w:r>
        <w:t xml:space="preserve"># 24.12 OWASP ZAP</w:t>
      </w:r>
    </w:p>
    <w:p>
      <w:pPr>
        <w:pStyle w:val="FirstParagraph"/>
      </w:pPr>
      <w:r>
        <w:t xml:space="preserve">Objetivo: Testes de segurança da web autorizados. Projecto oficial:</w:t>
      </w:r>
      <w:r>
        <w:t xml:space="preserve"> </w:t>
      </w:r>
      <w:hyperlink r:id="rId114">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15"/>
    <w:bookmarkStart w:id="117"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16">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7"/>
    <w:bookmarkStart w:id="119" w:name="keycloak"/>
    <w:p>
      <w:pPr>
        <w:pStyle w:val="Heading1"/>
      </w:pPr>
      <w:r>
        <w:t xml:space="preserve"># 24.14 Keycloak</w:t>
      </w:r>
    </w:p>
    <w:p>
      <w:pPr>
        <w:pStyle w:val="FirstParagraph"/>
      </w:pPr>
      <w:r>
        <w:t xml:space="preserve">Objetivo: Identidade, papéis, MFA, sessões e eventos. Projeto oficial:</w:t>
      </w:r>
      <w:r>
        <w:t xml:space="preserve"> </w:t>
      </w:r>
      <w:hyperlink r:id="rId118">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Start w:id="121"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20">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21"/>
    <w:bookmarkStart w:id="123"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22">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23"/>
    <w:bookmarkStart w:id="125"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28"/>
        </w:numPr>
      </w:pPr>
      <w:r>
        <w:t xml:space="preserve">O GI escolhido ainda é adequado para dados sensíveis, serviços críticos, exposição à ameaça, obrigações, escala e habilidades?</w:t>
      </w:r>
    </w:p>
    <w:p>
      <w:pPr>
        <w:numPr>
          <w:ilvl w:val="0"/>
          <w:numId w:val="1028"/>
        </w:numPr>
      </w:pPr>
      <w:r>
        <w:t xml:space="preserve">As populações centrais são completas, atuais, possuídas e reconciliadas com a descoberta independente?</w:t>
      </w:r>
    </w:p>
    <w:p>
      <w:pPr>
        <w:numPr>
          <w:ilvl w:val="0"/>
          <w:numId w:val="1028"/>
        </w:numPr>
      </w:pPr>
      <w:r>
        <w:t xml:space="preserve">Quais salvaguardas IG1 têm cobertura incompleta, revisão atrasada, dados de entrada não confiáveis, ou repetidas exceções?</w:t>
      </w:r>
    </w:p>
    <w:p>
      <w:pPr>
        <w:numPr>
          <w:ilvl w:val="0"/>
          <w:numId w:val="1028"/>
        </w:numPr>
      </w:pPr>
      <w:r>
        <w:t xml:space="preserve">O acesso administrativo, sistemas expostos externamente, software não suportado, vulnerabilidades críticas e falhas de recuperação aumentaram?</w:t>
      </w:r>
    </w:p>
    <w:p>
      <w:pPr>
        <w:numPr>
          <w:ilvl w:val="0"/>
          <w:numId w:val="1028"/>
        </w:numPr>
      </w:pPr>
      <w:r>
        <w:t xml:space="preserve">Os alertas resultam em investigação e resposta, ou apenas no volume do painel?</w:t>
      </w:r>
    </w:p>
    <w:p>
      <w:pPr>
        <w:numPr>
          <w:ilvl w:val="0"/>
          <w:numId w:val="1028"/>
        </w:numPr>
      </w:pPr>
      <w:r>
        <w:t xml:space="preserve">As responsabilidades dos prestadores de serviços, as provas, as obrigações em matéria de incidentes, os subcontratantes e os planos de saída estão entendidos?</w:t>
      </w:r>
    </w:p>
    <w:p>
      <w:pPr>
        <w:numPr>
          <w:ilvl w:val="0"/>
          <w:numId w:val="1028"/>
        </w:numPr>
      </w:pPr>
      <w:r>
        <w:t xml:space="preserve">Os testes de penetração e os exercícios são autorizados de forma segura, adequadamente explorados, realizados independentemente quando necessário, e seguidos através do reteste?</w:t>
      </w:r>
    </w:p>
    <w:p>
      <w:pPr>
        <w:numPr>
          <w:ilvl w:val="0"/>
          <w:numId w:val="1028"/>
        </w:numPr>
      </w:pPr>
      <w:r>
        <w:t xml:space="preserve">Que financiamento, pessoal, tempo de engenharia, ou decisão de negócios está bloqueando correção?</w:t>
      </w:r>
    </w:p>
    <w:bookmarkStart w:id="124" w:name="section-14"/>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24"/>
    <w:bookmarkEnd w:id="125"/>
    <w:bookmarkStart w:id="129"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27" name="Picture"/>
            <a:graphic>
              <a:graphicData uri="http://schemas.openxmlformats.org/drawingml/2006/picture">
                <pic:pic>
                  <pic:nvPicPr>
                    <pic:cNvPr descr="media/image10.png" id="128" name="Picture"/>
                    <pic:cNvPicPr>
                      <a:picLocks noChangeArrowheads="1" noChangeAspect="1"/>
                    </pic:cNvPicPr>
                  </pic:nvPicPr>
                  <pic:blipFill>
                    <a:blip r:embed="rId126"/>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29"/>
    <w:bookmarkStart w:id="131" w:name="típico-trabalho-júnior"/>
    <w:p>
      <w:pPr>
        <w:pStyle w:val="Heading1"/>
      </w:pPr>
      <w:r>
        <w:t xml:space="preserve"># 26.1 Típico trabalho júnior</w:t>
      </w:r>
    </w:p>
    <w:p>
      <w:pPr>
        <w:numPr>
          <w:ilvl w:val="0"/>
          <w:numId w:val="1029"/>
        </w:numPr>
      </w:pPr>
      <w:r>
        <w:t xml:space="preserve">Manter inventários de ativos, software, dados, contas, sistemas de rede, fornecedores, aplicações, descobertas e evidências.</w:t>
      </w:r>
    </w:p>
    <w:p>
      <w:pPr>
        <w:numPr>
          <w:ilvl w:val="0"/>
          <w:numId w:val="1029"/>
        </w:numPr>
      </w:pPr>
      <w:r>
        <w:t xml:space="preserve">Recolher provas sem alterar os registos de origem e validar a completude da população.</w:t>
      </w:r>
    </w:p>
    <w:p>
      <w:pPr>
        <w:numPr>
          <w:ilvl w:val="0"/>
          <w:numId w:val="1029"/>
        </w:numPr>
      </w:pPr>
      <w:r>
        <w:t xml:space="preserve">Mapa Salvaguardas para proprietários, sistemas, procedimentos, configuração, evidências, métricas, exceções e ações.</w:t>
      </w:r>
    </w:p>
    <w:p>
      <w:pPr>
        <w:numPr>
          <w:ilvl w:val="0"/>
          <w:numId w:val="1029"/>
        </w:numPr>
      </w:pPr>
      <w:r>
        <w:t xml:space="preserve">Execute ferramentas autorizadas de descoberta, configuração, vulnerabilidade, registro ou segurança de aplicativos sob procedimentos aprovados.</w:t>
      </w:r>
    </w:p>
    <w:p>
      <w:pPr>
        <w:numPr>
          <w:ilvl w:val="0"/>
          <w:numId w:val="1029"/>
        </w:numPr>
      </w:pPr>
      <w:r>
        <w:t xml:space="preserve">Calcular as métricas de cobertura e exceção utilizando a estrutura oficial de avaliação.</w:t>
      </w:r>
    </w:p>
    <w:p>
      <w:pPr>
        <w:numPr>
          <w:ilvl w:val="0"/>
          <w:numId w:val="1029"/>
        </w:numPr>
      </w:pPr>
      <w:r>
        <w:t xml:space="preserve">Rastreie software não suportado, ativos não autorizados, problemas de acesso, vulnerabilidades, backups falhados, falhas de alerta e descobertas do fornecedor através do reteste.</w:t>
      </w:r>
    </w:p>
    <w:p>
      <w:pPr>
        <w:numPr>
          <w:ilvl w:val="0"/>
          <w:numId w:val="1029"/>
        </w:numPr>
      </w:pPr>
      <w:r>
        <w:t xml:space="preserve">Escreva conclusões claras sem reivindicar autoridade ou certeza além das provas.</w:t>
      </w:r>
    </w:p>
    <w:bookmarkStart w:id="130"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30"/>
    <w:bookmarkEnd w:id="131"/>
    <w:bookmarkStart w:id="133" w:name="laboratório-fictício-e-portfólio"/>
    <w:p>
      <w:pPr>
        <w:pStyle w:val="Heading1"/>
      </w:pPr>
      <w:r>
        <w:t xml:space="preserve">27. Laboratório Fictício e Portfólio</w:t>
      </w:r>
    </w:p>
    <w:p>
      <w:pPr>
        <w:numPr>
          <w:ilvl w:val="0"/>
          <w:numId w:val="1030"/>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1"/>
        </w:numPr>
      </w:pPr>
      <w:r>
        <w:t xml:space="preserve">Crie uma empresa fictícia de 50 pessoas com laptops, servidores, serviços de nuvem, uma aplicação web, pessoal remoto e cinco fornecedores.</w:t>
      </w:r>
    </w:p>
    <w:p>
      <w:pPr>
        <w:numPr>
          <w:ilvl w:val="0"/>
          <w:numId w:val="1031"/>
        </w:numPr>
      </w:pPr>
      <w:r>
        <w:t xml:space="preserve">Selecione IG1 e documentar três adições baseadas em risco do IG2 ou IG3.</w:t>
      </w:r>
    </w:p>
    <w:p>
      <w:pPr>
        <w:numPr>
          <w:ilvl w:val="0"/>
          <w:numId w:val="1031"/>
        </w:numPr>
      </w:pPr>
      <w:r>
        <w:t xml:space="preserve">Build Enterprise-asset, software, dados, conta, sistema de autenticação, rede, fornecedor, aplicativo e log-source inventários.</w:t>
      </w:r>
    </w:p>
    <w:p>
      <w:pPr>
        <w:numPr>
          <w:ilvl w:val="0"/>
          <w:numId w:val="1031"/>
        </w:numPr>
      </w:pPr>
      <w:r>
        <w:t xml:space="preserve">Use Nmap e osquery em um laboratório isolado para conciliar inventários de ativos e software.</w:t>
      </w:r>
    </w:p>
    <w:p>
      <w:pPr>
        <w:numPr>
          <w:ilvl w:val="0"/>
          <w:numId w:val="1031"/>
        </w:numPr>
      </w:pPr>
      <w:r>
        <w:t xml:space="preserve">Use OpenSCAP ou Lynis em um host de laboratório; conclusões de configuração do documento, exceções, correções e reavaliação.</w:t>
      </w:r>
    </w:p>
    <w:p>
      <w:pPr>
        <w:numPr>
          <w:ilvl w:val="0"/>
          <w:numId w:val="1031"/>
        </w:numPr>
      </w:pPr>
      <w:r>
        <w:t xml:space="preserve">Use Greenbone em alvos de laboratório aprovados; valide cobertura, achados, remediação e rescan.</w:t>
      </w:r>
    </w:p>
    <w:p>
      <w:pPr>
        <w:numPr>
          <w:ilvl w:val="0"/>
          <w:numId w:val="1031"/>
        </w:numPr>
      </w:pPr>
      <w:r>
        <w:t xml:space="preserve">Use Wazuh ou Suricata para gerar e investigar um alerta de teste seguro.</w:t>
      </w:r>
    </w:p>
    <w:p>
      <w:pPr>
        <w:numPr>
          <w:ilvl w:val="0"/>
          <w:numId w:val="1031"/>
        </w:numPr>
      </w:pPr>
      <w:r>
        <w:t xml:space="preserve">Use Trivy ou ZAP em um repositório de treinamento ou aplicação e corrigir registro e reteste.</w:t>
      </w:r>
    </w:p>
    <w:p>
      <w:pPr>
        <w:numPr>
          <w:ilvl w:val="0"/>
          <w:numId w:val="1031"/>
        </w:numPr>
      </w:pPr>
      <w:r>
        <w:t xml:space="preserve">Escreva um teste de backup-restore e incidente registro de mesa.</w:t>
      </w:r>
    </w:p>
    <w:p>
      <w:pPr>
        <w:numPr>
          <w:ilvl w:val="0"/>
          <w:numId w:val="1031"/>
        </w:numPr>
      </w:pPr>
      <w:r>
        <w:t xml:space="preserve">Crie cinco trabalhos CIS Assessment Specification com entradas, operações, medidas, métricas, listas de exceções e conclusões.</w:t>
      </w:r>
    </w:p>
    <w:p>
      <w:pPr>
        <w:numPr>
          <w:ilvl w:val="0"/>
          <w:numId w:val="1031"/>
        </w:numPr>
      </w:pPr>
      <w:r>
        <w:t xml:space="preserve">Publicar apenas artefatos higienizados e afirmar claramente que o projeto é fictício e não uma avaliação formal CIS.</w:t>
      </w:r>
    </w:p>
    <w:bookmarkStart w:id="132"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32"/>
    <w:bookmarkEnd w:id="133"/>
    <w:bookmarkStart w:id="136" w:name="plano-de-aprendizagem-de-trinta-dias"/>
    <w:p>
      <w:pPr>
        <w:pStyle w:val="Heading1"/>
      </w:pPr>
      <w:r>
        <w:t xml:space="preserve">28. Plano de Aprendizagem de Trinta Dias</w:t>
      </w:r>
    </w:p>
    <w:p>
      <w:pPr>
        <w:numPr>
          <w:ilvl w:val="0"/>
          <w:numId w:val="1032"/>
        </w:numPr>
      </w:pPr>
      <w:r>
        <w:t xml:space="preserve">Uma programação focada para uma capacidade útil de nível júnior.*</w:t>
      </w:r>
    </w:p>
    <w:p>
      <w:pPr>
        <w:numPr>
          <w:ilvl w:val="0"/>
          <w:numId w:val="1032"/>
        </w:numPr>
        <w:pStyle w:val="Heading2"/>
      </w:pPr>
      <w:bookmarkStart w:id="134" w:name="dias-foco-entrega"/>
      <w:r>
        <w:t xml:space="preserve">Dias** * Foco** * Entrega**</w:t>
      </w:r>
      <w:bookmarkEnd w:id="134"/>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3"/>
        </w:numPr>
        <w:pStyle w:val="Compact"/>
      </w:pPr>
      <w:r>
        <w:t xml:space="preserve">Preparação da entrevista</w:t>
      </w:r>
    </w:p>
    <w:p>
      <w:pPr>
        <w:numPr>
          <w:ilvl w:val="0"/>
          <w:numId w:val="1034"/>
        </w:numPr>
        <w:pStyle w:val="Compact"/>
      </w:pPr>
      <w:r>
        <w:t xml:space="preserve">Respostas claras, cenários práticos e perguntas para o empregador.*</w:t>
      </w:r>
    </w:p>
    <w:bookmarkStart w:id="135"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35"/>
    <w:bookmarkEnd w:id="136"/>
    <w:bookmarkStart w:id="137"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37"/>
    <w:bookmarkStart w:id="143"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38"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38"/>
    <w:bookmarkStart w:id="139"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39"/>
    <w:bookmarkStart w:id="140"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40"/>
    <w:bookmarkStart w:id="141"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41"/>
    <w:bookmarkStart w:id="142"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42"/>
    <w:bookmarkEnd w:id="143"/>
    <w:bookmarkStart w:id="144"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44"/>
    <w:bookmarkStart w:id="148" w:name="modelos-glossário-índice-e-referências"/>
    <w:p>
      <w:pPr>
        <w:pStyle w:val="Heading1"/>
      </w:pPr>
      <w:r>
        <w:t xml:space="preserve">30. Modelos, Glossário, Índice e Referências</w:t>
      </w:r>
    </w:p>
    <w:p>
      <w:pPr>
        <w:numPr>
          <w:ilvl w:val="0"/>
          <w:numId w:val="1035"/>
        </w:numPr>
        <w:pStyle w:val="Compact"/>
      </w:pPr>
      <w:r>
        <w:t xml:space="preserve">Estruturas de trabalho reutilizáveis, termos importantes e pontos de partida autoritários.*</w:t>
      </w:r>
    </w:p>
    <w:bookmarkStart w:id="145" w:name="papel-de-medição-de-proteção"/>
    <w:p>
      <w:pPr>
        <w:pStyle w:val="Heading2"/>
      </w:pPr>
      <w:r>
        <w:t xml:space="preserve">30.1 Papel de medição de proteção</w:t>
      </w:r>
    </w:p>
    <w:p>
      <w:pPr>
        <w:numPr>
          <w:ilvl w:val="0"/>
          <w:numId w:val="1036"/>
        </w:numPr>
        <w:pStyle w:val="Compact"/>
      </w:pPr>
      <w:r>
        <w:t xml:space="preserve">Campo** * Entrada**</w:t>
      </w:r>
      <w:r>
        <w:t xml:space="preserve"> </w:t>
      </w:r>
      <w:r>
        <w:t xml:space="preserve">(——————————– (———————– (————–)</w:t>
      </w:r>
    </w:p>
    <w:p>
      <w:pPr>
        <w:numPr>
          <w:ilvl w:val="0"/>
          <w:numId w:val="1036"/>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45"/>
    <w:bookmarkStart w:id="147" w:name="registro-de-achados-e-retestes"/>
    <w:p>
      <w:pPr>
        <w:pStyle w:val="Heading2"/>
      </w:pPr>
      <w:r>
        <w:t xml:space="preserve">30.2 Registro de achados e retestes</w:t>
      </w:r>
    </w:p>
    <w:p>
      <w:pPr>
        <w:numPr>
          <w:ilvl w:val="0"/>
          <w:numId w:val="1037"/>
        </w:numPr>
        <w:pStyle w:val="Heading2"/>
      </w:pPr>
      <w:bookmarkStart w:id="146" w:name="campo-entrada"/>
      <w:r>
        <w:t xml:space="preserve">Campo** * Entrada**</w:t>
      </w:r>
      <w:bookmarkEnd w:id="146"/>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47"/>
    <w:bookmarkEnd w:id="148"/>
    <w:bookmarkStart w:id="150" w:name="glossário"/>
    <w:p>
      <w:pPr>
        <w:pStyle w:val="Heading1"/>
      </w:pPr>
      <w:r>
        <w:t xml:space="preserve"># 30.3 Glossário</w:t>
      </w:r>
    </w:p>
    <w:bookmarkStart w:id="149" w:name="section-15"/>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49"/>
    <w:bookmarkEnd w:id="150"/>
    <w:bookmarkStart w:id="158" w:name="índice-de-assunto"/>
    <w:p>
      <w:pPr>
        <w:pStyle w:val="Heading1"/>
      </w:pPr>
      <w:r>
        <w:t xml:space="preserve"># 30.4 Índice de assunto</w:t>
      </w:r>
    </w:p>
    <w:bookmarkStart w:id="151"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51"/>
    <w:bookmarkStart w:id="157" w:name="referências-oficiais"/>
    <w:p>
      <w:pPr>
        <w:pStyle w:val="Heading2"/>
      </w:pPr>
      <w:r>
        <w:t xml:space="preserve">30.5 Referências oficiais</w:t>
      </w:r>
    </w:p>
    <w:p>
      <w:pPr>
        <w:pStyle w:val="FirstParagraph"/>
      </w:pPr>
      <w:hyperlink r:id="rId152">
        <w:r>
          <w:rPr>
            <w:rStyle w:val="Hyperlink"/>
          </w:rPr>
          <w:t xml:space="preserve">CIS Controls v8.1</w:t>
        </w:r>
      </w:hyperlink>
    </w:p>
    <w:p>
      <w:pPr>
        <w:pStyle w:val="BodyText"/>
      </w:pPr>
      <w:hyperlink r:id="rId153">
        <w:r>
          <w:rPr>
            <w:rStyle w:val="Hyperlink"/>
          </w:rPr>
          <w:t xml:space="preserve">18 Lista de controlos CIS</w:t>
        </w:r>
      </w:hyperlink>
    </w:p>
    <w:p>
      <w:pPr>
        <w:pStyle w:val="BodyText"/>
      </w:pPr>
      <w:hyperlink r:id="rId154">
        <w:r>
          <w:rPr>
            <w:rStyle w:val="Hyperlink"/>
          </w:rPr>
          <w:t xml:space="preserve">Grupos de implementação</w:t>
        </w:r>
      </w:hyperlink>
    </w:p>
    <w:p>
      <w:pPr>
        <w:pStyle w:val="BodyText"/>
      </w:pPr>
      <w:hyperlink r:id="rId155">
        <w:r>
          <w:rPr>
            <w:rStyle w:val="Hyperlink"/>
          </w:rPr>
          <w:t xml:space="preserve"> </w:t>
        </w:r>
        <w:r>
          <w:rPr>
            <w:rStyle w:val="Hyperlink"/>
          </w:rPr>
          <w:t xml:space="preserve">Especificação de avaliação dos controlos</w:t>
        </w:r>
      </w:hyperlink>
    </w:p>
    <w:p>
      <w:pPr>
        <w:pStyle w:val="BodyText"/>
      </w:pPr>
      <w:hyperlink r:id="rId94">
        <w:r>
          <w:rPr>
            <w:rStyle w:val="Hyperlink"/>
          </w:rPr>
          <w:t xml:space="preserve">Documentação da especificação de avaliação</w:t>
        </w:r>
      </w:hyperlink>
    </w:p>
    <w:p>
      <w:pPr>
        <w:pStyle w:val="BodyText"/>
      </w:pPr>
      <w:hyperlink r:id="rId92">
        <w:r>
          <w:rPr>
            <w:rStyle w:val="Hyperlink"/>
          </w:rPr>
          <w:t xml:space="preserve">CIS Controls Navigator</w:t>
        </w:r>
      </w:hyperlink>
    </w:p>
    <w:p>
      <w:pPr>
        <w:pStyle w:val="BodyText"/>
      </w:pPr>
      <w:hyperlink r:id="rId156">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26" Target="media/rId126.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2026-07-31T03:16:16Z</dcterms:created>
  <dcterms:modified xsi:type="dcterms:W3CDTF">2026-07-31T03:16:16Z</dcterms:modified>
</cp:coreProperties>
</file>

<file path=docProps/custom.xml><?xml version="1.0" encoding="utf-8"?>
<Properties xmlns="http://schemas.openxmlformats.org/officeDocument/2006/custom-properties" xmlns:vt="http://schemas.openxmlformats.org/officeDocument/2006/docPropsVTypes"/>
</file>