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0" w:name="fundamentos-del-nist-csf-2.0"/>
    <w:p>
      <w:pPr>
        <w:pStyle w:val="Heading1"/>
      </w:pPr>
      <w:r>
        <w:t xml:space="preserve">1. Fundamentos del NIST CSF 2.0</w:t>
      </w:r>
    </w:p>
    <w:p>
      <w:pPr>
        <w:pStyle w:val="FirstParagraph"/>
      </w:pPr>
      <w:r>
        <w:rPr>
          <w:iCs/>
          <w:i/>
        </w:rPr>
        <w:t xml:space="preserve">Qué es el marco, qué cambió y qué no afirma.</w:t>
      </w:r>
    </w:p>
    <w:tbl>
      <w:tblPr>
        <w:tblStyle w:val="FigureTable"/>
        <w:tblW w:type="auto" w:w="0"/>
        <w:tblLook w:firstRow="0" w:lastRow="0" w:firstColumn="0" w:lastColumn="0"/>
        <w:jc w:val="center"/>
      </w:tblPr>
      <w:tblGrid>
        <w:gridCol w:w="7920"/>
      </w:tblGrid>
      <w:tr>
        <w:tc>
          <w:tcPr/>
          <w:p>
            <w:pPr>
              <w:pStyle w:val="Compact"/>
              <w:jc w:val="center"/>
            </w:pPr>
            <w:r>
              <w:t xml:space="preserve">Las Funciones Gobernar, Identificar, Proteger, Detectar, Responder y Recuperar operan como un sistema conectado.</w:t>
            </w:r>
          </w:p>
        </w:tc>
      </w:tr>
    </w:tbl>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27"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27"/>
    <w:bookmarkStart w:id="28"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28"/>
    <w:bookmarkStart w:id="29"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29"/>
    <w:bookmarkEnd w:id="30"/>
    <w:bookmarkStart w:id="31"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tbl>
      <w:tblPr>
        <w:tblStyle w:val="FigureTable"/>
        <w:tblW w:type="auto" w:w="0"/>
        <w:tblLook w:firstRow="0" w:lastRow="0" w:firstColumn="0" w:lastColumn="0"/>
        <w:jc w:val="center"/>
      </w:tblPr>
      <w:tblGrid>
        <w:gridCol w:w="7920"/>
      </w:tblGrid>
      <w:tr>
        <w:tc>
          <w:tcPr/>
          <w:p>
            <w:pPr>
              <w:pStyle w:val="Compact"/>
              <w:jc w:val="center"/>
            </w:pPr>
            <w:r>
              <w:t xml:space="preserve">Las Funciones contienen Categorías, y las Categorías contienen Subcategorías específicas centradas en resultados.</w:t>
            </w:r>
          </w:p>
        </w:tc>
      </w:tr>
    </w:tbl>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1"/>
    <w:bookmarkStart w:id="32"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2"/>
    <w:bookmarkStart w:id="39"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3"/>
    <w:bookmarkStart w:id="34"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34"/>
    <w:bookmarkStart w:id="35"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36"/>
    <w:bookmarkStart w:id="37"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37"/>
    <w:bookmarkStart w:id="38"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38"/>
    <w:bookmarkEnd w:id="39"/>
    <w:bookmarkStart w:id="43"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0"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0"/>
    <w:bookmarkStart w:id="41"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1"/>
    <w:bookmarkStart w:id="42"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2"/>
    <w:bookmarkEnd w:id="43"/>
    <w:bookmarkStart w:id="49"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44"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44"/>
    <w:bookmarkStart w:id="45"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45"/>
    <w:bookmarkStart w:id="46"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46"/>
    <w:bookmarkStart w:id="47"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47"/>
    <w:bookmarkStart w:id="48"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48"/>
    <w:bookmarkEnd w:id="49"/>
    <w:bookmarkStart w:id="52"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0"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0"/>
    <w:bookmarkStart w:id="51"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1"/>
    <w:bookmarkEnd w:id="52"/>
    <w:bookmarkStart w:id="57"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3"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3"/>
    <w:bookmarkStart w:id="54"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54"/>
    <w:bookmarkStart w:id="55"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55"/>
    <w:bookmarkStart w:id="56"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56"/>
    <w:bookmarkEnd w:id="57"/>
    <w:bookmarkStart w:id="60"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58"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58"/>
    <w:bookmarkStart w:id="59"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59"/>
    <w:bookmarkEnd w:id="60"/>
    <w:bookmarkStart w:id="64"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tbl>
      <w:tblPr>
        <w:tblStyle w:val="FigureTable"/>
        <w:tblW w:type="auto" w:w="0"/>
        <w:tblLook w:firstRow="0" w:lastRow="0" w:firstColumn="0" w:lastColumn="0"/>
        <w:jc w:val="center"/>
      </w:tblPr>
      <w:tblGrid>
        <w:gridCol w:w="7920"/>
      </w:tblGrid>
      <w:tr>
        <w:tc>
          <w:tcPr/>
          <w:p>
            <w:pPr>
              <w:pStyle w:val="Compact"/>
              <w:jc w:val="center"/>
            </w:pPr>
            <w:r>
              <w:t xml:space="preserve">Un Perfil Objetivo es útil cuando sus brechas se convierten en acciones basadas en riesgo, con responsables y financiamiento definidos.</w:t>
            </w:r>
          </w:p>
        </w:tc>
      </w:tr>
    </w:tbl>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61"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61"/>
    <w:bookmarkStart w:id="62"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62"/>
    <w:bookmarkStart w:id="63"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63"/>
    <w:bookmarkEnd w:id="64"/>
    <w:bookmarkStart w:id="65"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tbl>
      <w:tblPr>
        <w:tblStyle w:val="FigureTable"/>
        <w:tblW w:type="auto" w:w="0"/>
        <w:tblLook w:firstRow="0" w:lastRow="0" w:firstColumn="0" w:lastColumn="0"/>
        <w:jc w:val="center"/>
      </w:tblPr>
      <w:tblGrid>
        <w:gridCol w:w="7920"/>
      </w:tblGrid>
      <w:tr>
        <w:tc>
          <w:tcPr/>
          <w:p>
            <w:pPr>
              <w:pStyle w:val="Compact"/>
              <w:jc w:val="center"/>
            </w:pPr>
            <w:r>
              <w:t xml:space="preserve">Los Niveles del CSF ofrecen contexto sobre el rigor de la gobernanza y de las prácticas de gestión del riesgo.</w:t>
            </w:r>
          </w:p>
        </w:tc>
      </w:tr>
    </w:tbl>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65"/>
    <w:bookmarkStart w:id="68"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66"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66"/>
    <w:bookmarkStart w:id="67"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67"/>
    <w:bookmarkEnd w:id="68"/>
    <w:bookmarkStart w:id="69"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Planificar, seleccionar, contratar, monitorear y finalizar relaciones con responsabilidades de seguridad claramente definidas.</w:t>
            </w:r>
          </w:p>
        </w:tc>
      </w:tr>
    </w:tbl>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69"/>
    <w:bookmarkStart w:id="71"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Una correspondencia es confiable cuando los controles y la evidencia operativa se someten a pruebas.</w:t>
            </w:r>
          </w:p>
        </w:tc>
      </w:tr>
    </w:tbl>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70"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70"/>
    <w:bookmarkEnd w:id="71"/>
    <w:bookmarkStart w:id="74"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72"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72"/>
    <w:bookmarkStart w:id="73"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73"/>
    <w:bookmarkEnd w:id="74"/>
    <w:bookmarkStart w:id="79"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La autorización, la validación, la acción correctiva y la repetición de pruebas convierten los resultados técnicos en evidencia útil.</w:t>
            </w:r>
          </w:p>
        </w:tc>
      </w:tr>
    </w:tbl>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75"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75"/>
    <w:bookmarkStart w:id="77"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76"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76"/>
    <w:bookmarkEnd w:id="77"/>
    <w:bookmarkStart w:id="78"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78"/>
    <w:bookmarkEnd w:id="79"/>
    <w:bookmarkStart w:id="83" w:name="guía-práctica-del-csf-para-gerentes"/>
    <w:p>
      <w:pPr>
        <w:pStyle w:val="Heading1"/>
      </w:pPr>
      <w:r>
        <w:t xml:space="preserve">17. Guía práctica del CSF para gerentes</w:t>
      </w:r>
    </w:p>
    <w:bookmarkStart w:id="80"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80"/>
    <w:bookmarkStart w:id="81"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81"/>
    <w:bookmarkStart w:id="82"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82"/>
    <w:bookmarkEnd w:id="83"/>
    <w:bookmarkStart w:id="87" w:name="de-principiante-a-analista-junior"/>
    <w:p>
      <w:pPr>
        <w:pStyle w:val="Heading1"/>
      </w:pPr>
      <w:r>
        <w:t xml:space="preserve">18. De principiante a analista junior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probar, informar y postularse con evidencia honesta de portafolio.</w:t>
            </w:r>
          </w:p>
        </w:tc>
      </w:tr>
    </w:tbl>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84"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84"/>
    <w:bookmarkStart w:id="85"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85"/>
    <w:bookmarkStart w:id="86"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86"/>
    <w:bookmarkEnd w:id="87"/>
    <w:bookmarkStart w:id="88"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88"/>
    <w:bookmarkStart w:id="90"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89"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89"/>
    <w:bookmarkEnd w:id="90"/>
    <w:bookmarkStart w:id="91"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91"/>
    <w:bookmarkStart w:id="97" w:name="plantillas-y-listas-de-verificación"/>
    <w:p>
      <w:pPr>
        <w:pStyle w:val="Heading1"/>
      </w:pPr>
      <w:r>
        <w:t xml:space="preserve">22. Plantillas y listas de verificación</w:t>
      </w:r>
    </w:p>
    <w:bookmarkStart w:id="92"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92"/>
    <w:bookmarkStart w:id="93"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93"/>
    <w:bookmarkStart w:id="94"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94"/>
    <w:bookmarkStart w:id="95"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95"/>
    <w:bookmarkStart w:id="96"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96"/>
    <w:bookmarkEnd w:id="97"/>
    <w:bookmarkStart w:id="99"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98"/>
    <w:bookmarkEnd w:id="99"/>
    <w:bookmarkStart w:id="100"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2026-07-28T21:46:07Z</dcterms:created>
  <dcterms:modified xsi:type="dcterms:W3CDTF">2026-07-28T21:46:07Z</dcterms:modified>
</cp:coreProperties>
</file>

<file path=docProps/custom.xml><?xml version="1.0" encoding="utf-8"?>
<Properties xmlns="http://schemas.openxmlformats.org/officeDocument/2006/custom-properties" xmlns:vt="http://schemas.openxmlformats.org/officeDocument/2006/docPropsVTypes"/>
</file>