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1"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width:6.15in;height:3.23744in</w:t>
      </w:r>
      <w:r>
        <w:t xml:space="preserve">”</w:t>
      </w:r>
      <w:r>
        <w:t xml:space="preserve"> </w:t>
      </w:r>
      <w:r>
        <w:t xml:space="preserve">alt=</w:t>
      </w:r>
      <w:r>
        <w:t xml:space="preserve">“</w:t>
      </w:r>
      <w:r>
        <w:t xml:space="preserve">Cuatro bloques conectados muestran personas, datos, propósito y control.</w:t>
      </w:r>
      <w:r>
        <w:t xml:space="preserve">”</w:t>
      </w:r>
      <w:r>
        <w:t xml:space="preserve"> </w:t>
      </w:r>
      <w:r>
        <w:t xml:space="preserve">/</w:t>
      </w:r>
    </w:p>
    <w:p>
      <w:pPr>
        <w:pStyle w:val="BodyText"/>
      </w:pPr>
      <w:r>
        <w:t xml:space="preserve">Figura 1. GDPR como un programa de gestión práctica</w:t>
      </w:r>
    </w:p>
    <w:bookmarkStart w:id="25"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5"/>
    <w:bookmarkStart w:id="26"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6"/>
    <w:bookmarkStart w:id="27"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27"/>
    <w:bookmarkStart w:id="28"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28"/>
    <w:bookmarkStart w:id="29"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29"/>
    <w:bookmarkStart w:id="30"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0"/>
    <w:bookmarkEnd w:id="31"/>
    <w:bookmarkStart w:id="37"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width:6.15in;height:3.34699in</w:t>
      </w:r>
      <w:r>
        <w:t xml:space="preserve">”</w:t>
      </w:r>
      <w:r>
        <w:t xml:space="preserve"> </w:t>
      </w:r>
      <w:r>
        <w:t xml:space="preserve">alt=</w:t>
      </w:r>
      <w:r>
        <w:t xml:space="preserve">“</w:t>
      </w:r>
      <w:r>
        <w:t xml:space="preserve">El ciclo de vida conecta la colección, el uso, el compartir, la retención y la eliminación.</w:t>
      </w:r>
      <w:r>
        <w:t xml:space="preserve">”</w:t>
      </w:r>
      <w:r>
        <w:t xml:space="preserve"> </w:t>
      </w:r>
      <w:r>
        <w:t xml:space="preserve">/</w:t>
      </w:r>
    </w:p>
    <w:p>
      <w:pPr>
        <w:pStyle w:val="BodyText"/>
      </w:pPr>
      <w:r>
        <w:t xml:space="preserve">Gráfico 2 Ciclo de vida de datos personales</w:t>
      </w:r>
    </w:p>
    <w:bookmarkStart w:id="32"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2"/>
    <w:bookmarkStart w:id="33"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3"/>
    <w:bookmarkStart w:id="34"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BodyText"/>
      </w:pPr>
      <w:r>
        <w:t xml:space="preserve">■img src=</w:t>
      </w:r>
      <w:r>
        <w:t xml:space="preserve">“</w:t>
      </w:r>
      <w:r>
        <w:t xml:space="preserve">media/image3.png</w:t>
      </w:r>
      <w:r>
        <w:t xml:space="preserve">”</w:t>
      </w:r>
      <w:r>
        <w:t xml:space="preserve"> </w:t>
      </w:r>
      <w:r>
        <w:t xml:space="preserve">estilo=</w:t>
      </w:r>
      <w:r>
        <w:t xml:space="preserve">“</w:t>
      </w:r>
      <w:r>
        <w:t xml:space="preserve">Ancho:6.15in; Altura:3.34699in</w:t>
      </w:r>
      <w:r>
        <w:t xml:space="preserve">”</w:t>
      </w:r>
      <w:r>
        <w:t xml:space="preserve"> </w:t>
      </w:r>
      <w:r>
        <w:t xml:space="preserve">alt=</w:t>
      </w:r>
      <w:r>
        <w:t xml:space="preserve">“</w:t>
      </w:r>
      <w:r>
        <w:t xml:space="preserve">Un flujo de trabajo de cinco pasos cubre la ingesta a través del resultado registrado.</w:t>
      </w:r>
      <w:r>
        <w:t xml:space="preserve">”</w:t>
      </w:r>
      <w:r>
        <w:t xml:space="preserve"> </w:t>
      </w:r>
      <w:r>
        <w:t xml:space="preserve">/</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34"/>
    <w:bookmarkStart w:id="35"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35"/>
    <w:bookmarkStart w:id="36"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36"/>
    <w:bookmarkEnd w:id="37"/>
    <w:bookmarkStart w:id="41"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38"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38"/>
    <w:bookmarkStart w:id="39"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39"/>
    <w:bookmarkStart w:id="40"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0"/>
    <w:bookmarkEnd w:id="41"/>
    <w:bookmarkStart w:id="43"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width:6.15in;height:3.45654in</w:t>
      </w:r>
      <w:r>
        <w:t xml:space="preserve">”</w:t>
      </w:r>
      <w:r>
        <w:t xml:space="preserve"> </w:t>
      </w:r>
      <w:r>
        <w:t xml:space="preserve">alt=</w:t>
      </w:r>
      <w:r>
        <w:t xml:space="preserve">“</w:t>
      </w:r>
      <w:r>
        <w:t xml:space="preserve">Contener, evaluar, decidir y mejorar se muestran como un proceso vinculado.</w:t>
      </w:r>
      <w:r>
        <w:t xml:space="preserve">”</w:t>
      </w:r>
      <w:r>
        <w:t xml:space="preserve"> </w:t>
      </w:r>
      <w:r>
        <w:t xml:space="preserve">/</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42"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42"/>
    <w:bookmarkEnd w:id="43"/>
    <w:bookmarkStart w:id="47"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44"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44"/>
    <w:bookmarkStart w:id="45"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45"/>
    <w:bookmarkStart w:id="46"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46"/>
    <w:bookmarkEnd w:id="47"/>
    <w:bookmarkStart w:id="56"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48"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48"/>
    <w:bookmarkStart w:id="49"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49"/>
    <w:bookmarkStart w:id="50"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50"/>
    <w:bookmarkStart w:id="51"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51"/>
    <w:bookmarkStart w:id="52"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52"/>
    <w:bookmarkStart w:id="53"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53"/>
    <w:bookmarkStart w:id="54"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54"/>
    <w:bookmarkStart w:id="55"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55"/>
    <w:bookmarkEnd w:id="56"/>
    <w:bookmarkStart w:id="60"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57"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57"/>
    <w:bookmarkStart w:id="58"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58"/>
    <w:bookmarkStart w:id="59"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59"/>
    <w:bookmarkEnd w:id="60"/>
    <w:bookmarkStart w:id="98"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BodyText"/>
      </w:pPr>
    </w:p>
    <w:p>
      <w:pPr>
        <w:pStyle w:val="BodyText"/>
      </w:pPr>
      <w:r>
        <w:t xml:space="preserve">Figura 5. Vía de análisis de privacidad junior</w:t>
      </w:r>
    </w:p>
    <w:bookmarkStart w:id="61"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61"/>
    <w:bookmarkStart w:id="62"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62"/>
    <w:bookmarkStart w:id="63"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63"/>
    <w:bookmarkStart w:id="65"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64"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64"/>
    <w:bookmarkEnd w:id="65"/>
    <w:bookmarkStart w:id="66"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66"/>
    <w:bookmarkStart w:id="68"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67"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67"/>
    <w:bookmarkEnd w:id="68"/>
    <w:bookmarkStart w:id="69"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69"/>
    <w:bookmarkStart w:id="71"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70"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70"/>
    <w:bookmarkEnd w:id="71"/>
    <w:bookmarkStart w:id="72"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72"/>
    <w:bookmarkStart w:id="74"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73"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73"/>
    <w:bookmarkEnd w:id="74"/>
    <w:bookmarkStart w:id="75"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75"/>
    <w:bookmarkStart w:id="77"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76"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76"/>
    <w:bookmarkEnd w:id="77"/>
    <w:bookmarkStart w:id="78"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78"/>
    <w:bookmarkStart w:id="80"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79"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79"/>
    <w:bookmarkEnd w:id="80"/>
    <w:bookmarkStart w:id="81"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82"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82"/>
    <w:bookmarkEnd w:id="83"/>
    <w:bookmarkStart w:id="84"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85"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85"/>
    <w:bookmarkEnd w:id="86"/>
    <w:bookmarkStart w:id="87"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88"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88"/>
    <w:bookmarkEnd w:id="89"/>
    <w:bookmarkStart w:id="90"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91"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91"/>
    <w:bookmarkEnd w:id="92"/>
    <w:bookmarkStart w:id="93"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94"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94"/>
    <w:bookmarkEnd w:id="95"/>
    <w:bookmarkStart w:id="96"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7"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97"/>
    <w:bookmarkEnd w:id="98"/>
    <w:bookmarkStart w:id="103"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99"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99"/>
    <w:bookmarkStart w:id="100"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00"/>
    <w:bookmarkStart w:id="101"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01"/>
    <w:bookmarkStart w:id="102"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02"/>
    <w:bookmarkEnd w:id="103"/>
    <w:bookmarkStart w:id="115"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04"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04"/>
    <w:bookmarkStart w:id="105"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05"/>
    <w:bookmarkStart w:id="106"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06"/>
    <w:bookmarkStart w:id="107"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07"/>
    <w:bookmarkStart w:id="108"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08"/>
    <w:bookmarkStart w:id="109"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09"/>
    <w:bookmarkStart w:id="110"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10"/>
    <w:bookmarkStart w:id="111"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11"/>
    <w:bookmarkStart w:id="112"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12"/>
    <w:bookmarkStart w:id="113"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13"/>
    <w:bookmarkStart w:id="114"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14"/>
    <w:bookmarkEnd w:id="115"/>
    <w:bookmarkStart w:id="121"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16"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16"/>
    <w:bookmarkStart w:id="117"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17"/>
    <w:bookmarkStart w:id="118"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18"/>
    <w:bookmarkStart w:id="119"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19"/>
    <w:bookmarkStart w:id="120"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20"/>
    <w:bookmarkEnd w:id="121"/>
    <w:bookmarkStart w:id="123"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22"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22"/>
    <w:bookmarkEnd w:id="123"/>
    <w:bookmarkStart w:id="124"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24"/>
    <w:bookmarkStart w:id="125"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25"/>
    <w:bookmarkStart w:id="140"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26">
        <w:r>
          <w:rPr>
            <w:rStyle w:val="Hyperlink"/>
          </w:rPr>
          <w:t xml:space="preserve">Según el resumen GDPR actualizado Marzo 2026 interpretado/u fieltro</w:t>
        </w:r>
      </w:hyperlink>
    </w:p>
    <w:p>
      <w:pPr>
        <w:pStyle w:val="BodyText"/>
      </w:pPr>
      <w:hyperlink r:id="rId127">
        <w:r>
          <w:rPr>
            <w:rStyle w:val="Hyperlink"/>
          </w:rPr>
          <w:t xml:space="preserve">Seguido</w:t>
        </w:r>
      </w:hyperlink>
    </w:p>
    <w:p>
      <w:pPr>
        <w:pStyle w:val="BodyText"/>
      </w:pPr>
      <w:hyperlink r:id="rId128">
        <w:r>
          <w:rPr>
            <w:rStyle w:val="Hyperlink"/>
          </w:rPr>
          <w:t xml:space="preserve">Se indica</w:t>
        </w:r>
      </w:hyperlink>
    </w:p>
    <w:p>
      <w:pPr>
        <w:pStyle w:val="BodyText"/>
      </w:pPr>
      <w:hyperlink r:id="rId129">
        <w:r>
          <w:rPr>
            <w:rStyle w:val="Hyperlink"/>
          </w:rPr>
          <w:t xml:space="preserve">Notificación de incumplimiento</w:t>
        </w:r>
      </w:hyperlink>
    </w:p>
    <w:p>
      <w:pPr>
        <w:pStyle w:val="BodyText"/>
      </w:pPr>
      <w:hyperlink r:id="rId130">
        <w:r>
          <w:rPr>
            <w:rStyle w:val="Hyperlink"/>
          </w:rPr>
          <w:t xml:space="preserve">Según datos</w:t>
        </w:r>
      </w:hyperlink>
    </w:p>
    <w:p>
      <w:pPr>
        <w:pStyle w:val="BodyText"/>
      </w:pPr>
      <w:hyperlink r:id="rId131">
        <w:r>
          <w:rPr>
            <w:rStyle w:val="Hyperlink"/>
          </w:rPr>
          <w:t xml:space="preserve">Sección Europea</w:t>
        </w:r>
      </w:hyperlink>
    </w:p>
    <w:p>
      <w:pPr>
        <w:pStyle w:val="BodyText"/>
      </w:pPr>
      <w:hyperlink r:id="rId132">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33">
        <w:r>
          <w:rPr>
            <w:rStyle w:val="Hyperlink"/>
          </w:rPr>
          <w:t xml:space="preserve">Se indica</w:t>
        </w:r>
      </w:hyperlink>
    </w:p>
    <w:p>
      <w:pPr>
        <w:pStyle w:val="BodyText"/>
      </w:pPr>
      <w:hyperlink r:id="rId134">
        <w:r>
          <w:rPr>
            <w:rStyle w:val="Hyperlink"/>
          </w:rPr>
          <w:t xml:space="preserve">Se indica</w:t>
        </w:r>
      </w:hyperlink>
    </w:p>
    <w:p>
      <w:pPr>
        <w:pStyle w:val="BodyText"/>
      </w:pPr>
      <w:hyperlink r:id="rId135">
        <w:r>
          <w:rPr>
            <w:rStyle w:val="Hyperlink"/>
          </w:rPr>
          <w:t xml:space="preserve">Se indica</w:t>
        </w:r>
      </w:hyperlink>
    </w:p>
    <w:p>
      <w:pPr>
        <w:pStyle w:val="BodyText"/>
      </w:pPr>
      <w:hyperlink r:id="rId136">
        <w:r>
          <w:rPr>
            <w:rStyle w:val="Hyperlink"/>
          </w:rPr>
          <w:t xml:space="preserve">Se indica</w:t>
        </w:r>
      </w:hyperlink>
    </w:p>
    <w:p>
      <w:pPr>
        <w:pStyle w:val="BodyText"/>
      </w:pPr>
      <w:hyperlink r:id="rId137">
        <w:r>
          <w:rPr>
            <w:rStyle w:val="Hyperlink"/>
          </w:rPr>
          <w:t xml:space="preserve">Se indica</w:t>
        </w:r>
      </w:hyperlink>
    </w:p>
    <w:p>
      <w:pPr>
        <w:pStyle w:val="BodyText"/>
      </w:pPr>
      <w:hyperlink r:id="rId138">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39">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4" Target="https://arx.deidentifier.org/anonymization-tool/" TargetMode="External" /><Relationship Type="http://schemas.openxmlformats.org/officeDocument/2006/relationships/hyperlink" Id="rId132" Target="https://commission.europa.eu/law/law-topic/data-protection/international-dimension-data-protection/adequacy-decisions_en" TargetMode="External" /><Relationship Type="http://schemas.openxmlformats.org/officeDocument/2006/relationships/hyperlink" Id="rId131" Target="https://commission.europa.eu/law/law-topic/data-protection/international-dimension-data-protection/standard-contractual-clauses-scc_en" TargetMode="External" /><Relationship Type="http://schemas.openxmlformats.org/officeDocument/2006/relationships/hyperlink" Id="rId130" Target="https://commission.europa.eu/law/law-topic/data-protection_en" TargetMode="External" /><Relationship Type="http://schemas.openxmlformats.org/officeDocument/2006/relationships/hyperlink" Id="rId136" Target="https://documentation.wazuh.com/current/quickstart.html" TargetMode="External" /><Relationship Type="http://schemas.openxmlformats.org/officeDocument/2006/relationships/hyperlink" Id="rId126" Target="https://eur-lex.europa.eu/EN/legal-content/summary/general-data-protection-regulation-gdpr.html" TargetMode="External" /><Relationship Type="http://schemas.openxmlformats.org/officeDocument/2006/relationships/hyperlink" Id="rId139" Target="https://greenbone.github.io/docs/latest/" TargetMode="External" /><Relationship Type="http://schemas.openxmlformats.org/officeDocument/2006/relationships/hyperlink" Id="rId133" Target="https://microsoft.github.io/presidio/" TargetMode="External" /><Relationship Type="http://schemas.openxmlformats.org/officeDocument/2006/relationships/hyperlink" Id="rId138" Target="https://trivy.dev/latest/" TargetMode="External" /><Relationship Type="http://schemas.openxmlformats.org/officeDocument/2006/relationships/hyperlink" Id="rId127" Target="https://www.edpb.europa.eu/edpb_en" TargetMode="External" /><Relationship Type="http://schemas.openxmlformats.org/officeDocument/2006/relationships/hyperlink" Id="rId129" Target="https://www.edpb.europa.eu/our-work-tools/our-documents/guidelines/guidelines-92022-personal-data-breach-notification-under_en" TargetMode="External" /><Relationship Type="http://schemas.openxmlformats.org/officeDocument/2006/relationships/hyperlink" Id="rId128" Target="https://www.edpb.europa.eu/sme-data-protection-guide/home_en" TargetMode="External" /><Relationship Type="http://schemas.openxmlformats.org/officeDocument/2006/relationships/hyperlink" Id="rId135" Target="https://www.keycloak.org/guides" TargetMode="External" /><Relationship Type="http://schemas.openxmlformats.org/officeDocument/2006/relationships/hyperlink" Id="rId137"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34" Target="https://arx.deidentifier.org/anonymization-tool/" TargetMode="External" /><Relationship Type="http://schemas.openxmlformats.org/officeDocument/2006/relationships/hyperlink" Id="rId132" Target="https://commission.europa.eu/law/law-topic/data-protection/international-dimension-data-protection/adequacy-decisions_en" TargetMode="External" /><Relationship Type="http://schemas.openxmlformats.org/officeDocument/2006/relationships/hyperlink" Id="rId131" Target="https://commission.europa.eu/law/law-topic/data-protection/international-dimension-data-protection/standard-contractual-clauses-scc_en" TargetMode="External" /><Relationship Type="http://schemas.openxmlformats.org/officeDocument/2006/relationships/hyperlink" Id="rId130" Target="https://commission.europa.eu/law/law-topic/data-protection_en" TargetMode="External" /><Relationship Type="http://schemas.openxmlformats.org/officeDocument/2006/relationships/hyperlink" Id="rId136" Target="https://documentation.wazuh.com/current/quickstart.html" TargetMode="External" /><Relationship Type="http://schemas.openxmlformats.org/officeDocument/2006/relationships/hyperlink" Id="rId126" Target="https://eur-lex.europa.eu/EN/legal-content/summary/general-data-protection-regulation-gdpr.html" TargetMode="External" /><Relationship Type="http://schemas.openxmlformats.org/officeDocument/2006/relationships/hyperlink" Id="rId139" Target="https://greenbone.github.io/docs/latest/" TargetMode="External" /><Relationship Type="http://schemas.openxmlformats.org/officeDocument/2006/relationships/hyperlink" Id="rId133" Target="https://microsoft.github.io/presidio/" TargetMode="External" /><Relationship Type="http://schemas.openxmlformats.org/officeDocument/2006/relationships/hyperlink" Id="rId138" Target="https://trivy.dev/latest/" TargetMode="External" /><Relationship Type="http://schemas.openxmlformats.org/officeDocument/2006/relationships/hyperlink" Id="rId127" Target="https://www.edpb.europa.eu/edpb_en" TargetMode="External" /><Relationship Type="http://schemas.openxmlformats.org/officeDocument/2006/relationships/hyperlink" Id="rId129" Target="https://www.edpb.europa.eu/our-work-tools/our-documents/guidelines/guidelines-92022-personal-data-breach-notification-under_en" TargetMode="External" /><Relationship Type="http://schemas.openxmlformats.org/officeDocument/2006/relationships/hyperlink" Id="rId128" Target="https://www.edpb.europa.eu/sme-data-protection-guide/home_en" TargetMode="External" /><Relationship Type="http://schemas.openxmlformats.org/officeDocument/2006/relationships/hyperlink" Id="rId135" Target="https://www.keycloak.org/guides" TargetMode="External" /><Relationship Type="http://schemas.openxmlformats.org/officeDocument/2006/relationships/hyperlink" Id="rId137"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2026-07-28T21:46:27Z</dcterms:created>
  <dcterms:modified xsi:type="dcterms:W3CDTF">2026-07-28T21:46:27Z</dcterms:modified>
</cp:coreProperties>
</file>

<file path=docProps/custom.xml><?xml version="1.0" encoding="utf-8"?>
<Properties xmlns="http://schemas.openxmlformats.org/officeDocument/2006/custom-properties" xmlns:vt="http://schemas.openxmlformats.org/officeDocument/2006/docPropsVTypes"/>
</file>