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3"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BodyText"/>
      </w:pPr>
    </w:p>
    <w:p>
      <w:pPr>
        <w:pStyle w:val="BodyText"/>
      </w:pPr>
      <w:r>
        <w:t xml:space="preserve">Figura 1. GDPR como um programa prático de gestão</w:t>
      </w:r>
    </w:p>
    <w:bookmarkEnd w:id="23"/>
    <w:bookmarkStart w:id="25"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4"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4"/>
    <w:bookmarkEnd w:id="25"/>
    <w:bookmarkStart w:id="26"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6"/>
    <w:bookmarkStart w:id="34"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28"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27" w:name="responsabilidade-chave"/>
      <w:r>
        <w:t xml:space="preserve">** ** ** ** ** ** Responsabilidade chave**</w:t>
      </w:r>
      <w:bookmarkEnd w:id="27"/>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28"/>
    <w:bookmarkStart w:id="29"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29"/>
    <w:bookmarkStart w:id="30"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FirstParagraph"/>
      </w:pPr>
    </w:p>
    <w:p>
      <w:pPr>
        <w:pStyle w:val="BodyText"/>
      </w:pPr>
      <w:r>
        <w:t xml:space="preserve">Figura 2. Ciclo de vida dos dados pessoais</w:t>
      </w:r>
    </w:p>
    <w:p>
      <w:pPr>
        <w:pStyle w:val="BodyText"/>
      </w:pPr>
      <w:r>
        <w:t xml:space="preserve">§ 3.1 Princípios do artigo 5.o</w:t>
      </w:r>
    </w:p>
    <w:bookmarkEnd w:id="30"/>
    <w:bookmarkStart w:id="31"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1"/>
    <w:bookmarkStart w:id="32"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2"/>
    <w:bookmarkStart w:id="33"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3"/>
    <w:bookmarkEnd w:id="34"/>
    <w:bookmarkStart w:id="37"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FirstParagraph"/>
      </w:pPr>
    </w:p>
    <w:p>
      <w:pPr>
        <w:pStyle w:val="BodyText"/>
      </w:pPr>
      <w:r>
        <w:t xml:space="preserve">Figura 3. Fluxo de trabalho de dados-sujeitos-direitos</w:t>
      </w:r>
    </w:p>
    <w:p>
      <w:pPr>
        <w:numPr>
          <w:ilvl w:val="0"/>
          <w:numId w:val="1010"/>
        </w:numPr>
        <w:pStyle w:val="Heading2"/>
      </w:pPr>
      <w:bookmarkStart w:id="35" w:name="direito-trabalho-prático-cuidado-com"/>
      <w:r>
        <w:t xml:space="preserve">** Direito** ** Trabalho prático** ** ** Cuidado com**</w:t>
      </w:r>
      <w:bookmarkEnd w:id="35"/>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36"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36"/>
    <w:bookmarkEnd w:id="37"/>
    <w:bookmarkStart w:id="42"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38"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38"/>
    <w:bookmarkStart w:id="39"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39"/>
    <w:bookmarkStart w:id="40"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FirstParagraph"/>
      </w:pP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40"/>
    <w:bookmarkStart w:id="41"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41"/>
    <w:bookmarkEnd w:id="42"/>
    <w:bookmarkStart w:id="46"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43"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43"/>
    <w:bookmarkStart w:id="44"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44"/>
    <w:bookmarkStart w:id="45"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45"/>
    <w:bookmarkEnd w:id="46"/>
    <w:bookmarkStart w:id="48"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47"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47"/>
    <w:bookmarkEnd w:id="48"/>
    <w:bookmarkStart w:id="62" w:name="evidências-comuns-de-transferência"/>
    <w:p>
      <w:pPr>
        <w:pStyle w:val="Heading1"/>
      </w:pPr>
      <w:r>
        <w:t xml:space="preserve">8.2 Evidências comuns de transferência</w:t>
      </w:r>
    </w:p>
    <w:p>
      <w:pPr>
        <w:numPr>
          <w:ilvl w:val="0"/>
          <w:numId w:val="1020"/>
        </w:numPr>
        <w:pStyle w:val="Heading2"/>
      </w:pPr>
      <w:bookmarkStart w:id="49" w:name="item-o-que-deveria-mostrar"/>
      <w:r>
        <w:t xml:space="preserve">Item** ** O que deveria mostrar**</w:t>
      </w:r>
      <w:bookmarkEnd w:id="49"/>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50" w:name="art.-art.-art.-art."/>
      <w:r>
        <w:t xml:space="preserve">Art.** Art.** Art.** Art.</w:t>
      </w:r>
      <w:bookmarkEnd w:id="50"/>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51" w:name="art.-art.-art.-art.-1"/>
      <w:r>
        <w:t xml:space="preserve">Art.** Art.** Art.** Art.</w:t>
      </w:r>
      <w:bookmarkEnd w:id="51"/>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52" w:name="art.-art.-art.-art.-2"/>
      <w:r>
        <w:t xml:space="preserve">Art.** Art.** Art.** Art.</w:t>
      </w:r>
      <w:bookmarkEnd w:id="52"/>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61" w:name="capítulo-iv-controlador-e-processador"/>
    <w:p>
      <w:pPr>
        <w:pStyle w:val="Heading2"/>
      </w:pPr>
      <w:r>
        <w:t xml:space="preserve">9.4 Capítulo IV — Controlador e processador</w:t>
      </w:r>
    </w:p>
    <w:p>
      <w:pPr>
        <w:numPr>
          <w:ilvl w:val="0"/>
          <w:numId w:val="1026"/>
        </w:numPr>
        <w:pStyle w:val="Heading2"/>
      </w:pPr>
      <w:bookmarkStart w:id="53" w:name="art.-art.-art.-art.-3"/>
      <w:r>
        <w:t xml:space="preserve">Art.** Art.** Art.** Art.</w:t>
      </w:r>
      <w:bookmarkEnd w:id="53"/>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54" w:name="art.-art.-art.-art.-4"/>
      <w:r>
        <w:t xml:space="preserve">Art.** Art.** Art.** Art.</w:t>
      </w:r>
      <w:bookmarkEnd w:id="54"/>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55" w:name="art.-art.-art.-art.-5"/>
      <w:r>
        <w:t xml:space="preserve">Art.** Art.** Art.** Art.</w:t>
      </w:r>
      <w:bookmarkEnd w:id="55"/>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56" w:name="art.-art.-art.-art.-6"/>
      <w:r>
        <w:t xml:space="preserve">Art.** Art.** Art.** Art.</w:t>
      </w:r>
      <w:bookmarkEnd w:id="56"/>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57" w:name="art.-art.-art.-art.-7"/>
      <w:r>
        <w:t xml:space="preserve">Art.** Art.** Art.** Art.</w:t>
      </w:r>
      <w:bookmarkEnd w:id="57"/>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58" w:name="art.-art.-art.-art.-8"/>
      <w:r>
        <w:t xml:space="preserve">Art.** Art.** Art.** Art.</w:t>
      </w:r>
      <w:bookmarkEnd w:id="58"/>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59" w:name="art.-art.-art.-art.-9"/>
      <w:r>
        <w:t xml:space="preserve">Art.** Art.** Art.** Art.</w:t>
      </w:r>
      <w:bookmarkEnd w:id="59"/>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60" w:name="art.-art.-art.-art.-10"/>
      <w:r>
        <w:t xml:space="preserve">Art.** Art.** Art.** Art.</w:t>
      </w:r>
      <w:bookmarkEnd w:id="60"/>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61"/>
    <w:bookmarkEnd w:id="62"/>
    <w:bookmarkStart w:id="64"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63"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63"/>
    <w:bookmarkEnd w:id="64"/>
    <w:bookmarkStart w:id="67" w:name="painel-mensal"/>
    <w:p>
      <w:pPr>
        <w:pStyle w:val="Heading1"/>
      </w:pPr>
      <w:r>
        <w:t xml:space="preserve"># 10.2 Painel mensal</w:t>
      </w:r>
    </w:p>
    <w:bookmarkStart w:id="65"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65"/>
    <w:bookmarkStart w:id="66"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66"/>
    <w:bookmarkEnd w:id="67"/>
    <w:bookmarkStart w:id="68"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FirstParagraph"/>
      </w:pPr>
    </w:p>
    <w:p>
      <w:pPr>
        <w:pStyle w:val="BodyText"/>
      </w:pPr>
      <w:r>
        <w:t xml:space="preserve">Figura 5. Caminho do analista de privacidade júnior</w:t>
      </w:r>
    </w:p>
    <w:bookmarkEnd w:id="68"/>
    <w:bookmarkStart w:id="69"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69"/>
    <w:bookmarkStart w:id="70"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70"/>
    <w:bookmarkStart w:id="71"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71"/>
    <w:bookmarkStart w:id="73"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72"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72"/>
    <w:bookmarkEnd w:id="73"/>
    <w:bookmarkStart w:id="74"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74"/>
    <w:bookmarkStart w:id="77"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76"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75">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76"/>
    <w:bookmarkEnd w:id="77"/>
    <w:bookmarkStart w:id="78"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78"/>
    <w:bookmarkStart w:id="80"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79">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80"/>
    <w:bookmarkStart w:id="83"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2"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81">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82"/>
    <w:bookmarkEnd w:id="83"/>
    <w:bookmarkStart w:id="86"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5"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84">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85"/>
    <w:bookmarkEnd w:id="86"/>
    <w:bookmarkStart w:id="89"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88"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8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88"/>
    <w:bookmarkEnd w:id="89"/>
    <w:bookmarkStart w:id="90"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0"/>
    <w:bookmarkStart w:id="92"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91">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92"/>
    <w:bookmarkStart w:id="95"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4"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9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94"/>
    <w:bookmarkEnd w:id="95"/>
    <w:bookmarkStart w:id="98"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97"/>
    <w:bookmarkEnd w:id="98"/>
    <w:bookmarkStart w:id="99"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9"/>
    <w:bookmarkStart w:id="101"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00">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01"/>
    <w:bookmarkStart w:id="102"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2"/>
    <w:bookmarkStart w:id="104"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6"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5"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05"/>
    <w:bookmarkEnd w:id="106"/>
    <w:bookmarkStart w:id="107"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07"/>
    <w:bookmarkStart w:id="108"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08"/>
    <w:bookmarkStart w:id="109"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09"/>
    <w:bookmarkStart w:id="110" w:name="projeto-3-direitos"/>
    <w:p>
      <w:pPr>
        <w:pStyle w:val="Heading1"/>
      </w:pPr>
      <w:r>
        <w:t xml:space="preserve"># Projeto 3 — Direitos</w:t>
      </w:r>
    </w:p>
    <w:p>
      <w:pPr>
        <w:pStyle w:val="FirstParagraph"/>
      </w:pPr>
      <w:r>
        <w:t xml:space="preserve">Acesso ficcional completo, correção, exclusão, objeção e pedidos de portabilidade.</w:t>
      </w:r>
    </w:p>
    <w:bookmarkEnd w:id="110"/>
    <w:bookmarkStart w:id="111" w:name="projeto-4---dpia"/>
    <w:p>
      <w:pPr>
        <w:pStyle w:val="Heading1"/>
      </w:pPr>
      <w:r>
        <w:t xml:space="preserve"># Projeto 4 - DPIA</w:t>
      </w:r>
    </w:p>
    <w:p>
      <w:pPr>
        <w:pStyle w:val="FirstParagraph"/>
      </w:pPr>
      <w:r>
        <w:t xml:space="preserve">Avaliar o monitoramento ou o recurso de suporte de IA e definir salvaguardas.</w:t>
      </w:r>
    </w:p>
    <w:bookmarkEnd w:id="111"/>
    <w:bookmarkStart w:id="112"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12"/>
    <w:bookmarkStart w:id="113"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13"/>
    <w:bookmarkStart w:id="114"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14"/>
    <w:bookmarkStart w:id="116"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15"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15"/>
    <w:bookmarkEnd w:id="116"/>
    <w:bookmarkStart w:id="117"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17"/>
    <w:bookmarkStart w:id="118"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18"/>
    <w:bookmarkStart w:id="119"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19"/>
    <w:bookmarkStart w:id="120"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20"/>
    <w:bookmarkStart w:id="121"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21"/>
    <w:bookmarkStart w:id="122"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22"/>
    <w:bookmarkStart w:id="123"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23"/>
    <w:bookmarkStart w:id="124"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24"/>
    <w:bookmarkStart w:id="125"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25"/>
    <w:bookmarkStart w:id="126"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26"/>
    <w:bookmarkStart w:id="127"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27"/>
    <w:bookmarkStart w:id="128"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28"/>
    <w:bookmarkStart w:id="129"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29"/>
    <w:bookmarkStart w:id="130"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30"/>
    <w:bookmarkStart w:id="133" w:name="quebrar-a-folha-de-factos"/>
    <w:p>
      <w:pPr>
        <w:pStyle w:val="Heading1"/>
      </w:pPr>
      <w:r>
        <w:t xml:space="preserve"># 16.4 Quebrar a folha de factos</w:t>
      </w:r>
    </w:p>
    <w:bookmarkStart w:id="131"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31"/>
    <w:bookmarkStart w:id="132"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32"/>
    <w:bookmarkEnd w:id="133"/>
    <w:bookmarkStart w:id="136"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34"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34"/>
    <w:bookmarkStart w:id="135"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35"/>
    <w:bookmarkEnd w:id="136"/>
    <w:bookmarkStart w:id="137"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37"/>
    <w:bookmarkStart w:id="139"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38"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38"/>
    <w:bookmarkEnd w:id="139"/>
    <w:bookmarkStart w:id="150"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40">
        <w:r>
          <w:rPr>
            <w:rStyle w:val="Hyperlink"/>
          </w:rPr>
          <w:t xml:space="preserve">EUR-Lex — Regulamento (UE) 2016/679</w:t>
        </w:r>
      </w:hyperlink>
    </w:p>
    <w:p>
      <w:pPr>
        <w:pStyle w:val="BodyText"/>
      </w:pPr>
      <w:hyperlink r:id="rId141">
        <w:r>
          <w:rPr>
            <w:rStyle w:val="Hyperlink"/>
          </w:rPr>
          <w:t xml:space="preserve">EUR-Lex — Resumo GDPR actualizado em Março de 2026</w:t>
        </w:r>
      </w:hyperlink>
    </w:p>
    <w:p>
      <w:pPr>
        <w:pStyle w:val="BodyText"/>
      </w:pPr>
      <w:hyperlink r:id="rId142">
        <w:r>
          <w:rPr>
            <w:rStyle w:val="Hyperlink"/>
          </w:rPr>
          <w:t xml:space="preserve">Conselho Europeu de Protecção de Dados</w:t>
        </w:r>
      </w:hyperlink>
    </w:p>
    <w:p>
      <w:pPr>
        <w:pStyle w:val="BodyText"/>
      </w:pPr>
      <w:hyperlink r:id="rId143">
        <w:r>
          <w:rPr>
            <w:rStyle w:val="Hyperlink"/>
          </w:rPr>
          <w:t xml:space="preserve">Guia de Proteção de Dados das PME do EDPB</w:t>
        </w:r>
      </w:hyperlink>
    </w:p>
    <w:p>
      <w:pPr>
        <w:pStyle w:val="BodyText"/>
      </w:pPr>
      <w:hyperlink r:id="rId144">
        <w:r>
          <w:rPr>
            <w:rStyle w:val="Hyperlink"/>
          </w:rPr>
          <w:t xml:space="preserve">EDPB notification guidelines 9/2022</w:t>
        </w:r>
      </w:hyperlink>
    </w:p>
    <w:p>
      <w:pPr>
        <w:pStyle w:val="BodyText"/>
      </w:pPr>
      <w:hyperlink r:id="rId145">
        <w:r>
          <w:rPr>
            <w:rStyle w:val="Hyperlink"/>
          </w:rPr>
          <w:t xml:space="preserve">Comissão Europeia — Protecção de dados</w:t>
        </w:r>
      </w:hyperlink>
    </w:p>
    <w:p>
      <w:pPr>
        <w:pStyle w:val="BodyText"/>
      </w:pPr>
      <w:hyperlink r:id="rId146">
        <w:r>
          <w:rPr>
            <w:rStyle w:val="Hyperlink"/>
          </w:rPr>
          <w:t xml:space="preserve">Comissão Europeia — Cláusulas contratuais normalizadas</w:t>
        </w:r>
      </w:hyperlink>
    </w:p>
    <w:p>
      <w:pPr>
        <w:pStyle w:val="BodyText"/>
      </w:pPr>
      <w:hyperlink r:id="rId147">
        <w:r>
          <w:rPr>
            <w:rStyle w:val="Hyperlink"/>
          </w:rPr>
          <w:t xml:space="preserve">Comissão Europeia — Decisões de adequação</w:t>
        </w:r>
      </w:hyperlink>
    </w:p>
    <w:p>
      <w:pPr>
        <w:pStyle w:val="BodyText"/>
      </w:pPr>
      <w:hyperlink r:id="rId148">
        <w:r>
          <w:rPr>
            <w:rStyle w:val="Hyperlink"/>
          </w:rPr>
          <w:t xml:space="preserve">ENISA — Manual sobre Segurança do Tratamento de Dados Pessoais</w:t>
        </w:r>
      </w:hyperlink>
    </w:p>
    <w:p>
      <w:pPr>
        <w:pStyle w:val="BodyText"/>
      </w:pPr>
      <w:hyperlink r:id="rId149">
        <w:r>
          <w:rPr>
            <w:rStyle w:val="Hyperlink"/>
          </w:rPr>
          <w:t xml:space="preserve">Documentação do Assistente CISO</w:t>
        </w:r>
      </w:hyperlink>
    </w:p>
    <w:p>
      <w:pPr>
        <w:pStyle w:val="BodyText"/>
      </w:pPr>
      <w:hyperlink r:id="rId75">
        <w:r>
          <w:rPr>
            <w:rStyle w:val="Hyperlink"/>
          </w:rPr>
          <w:t xml:space="preserve">Documentação OpenMetada</w:t>
        </w:r>
      </w:hyperlink>
    </w:p>
    <w:p>
      <w:pPr>
        <w:pStyle w:val="BodyText"/>
      </w:pPr>
      <w:hyperlink r:id="rId79">
        <w:r>
          <w:rPr>
            <w:rStyle w:val="Hyperlink"/>
          </w:rPr>
          <w:t xml:space="preserve">Microsoft Presidio documentation</w:t>
        </w:r>
      </w:hyperlink>
    </w:p>
    <w:p>
      <w:pPr>
        <w:pStyle w:val="BodyText"/>
      </w:pPr>
      <w:hyperlink r:id="rId81">
        <w:r>
          <w:rPr>
            <w:rStyle w:val="Hyperlink"/>
          </w:rPr>
          <w:t xml:space="preserve">Documentação ARX</w:t>
        </w:r>
      </w:hyperlink>
    </w:p>
    <w:p>
      <w:pPr>
        <w:pStyle w:val="BodyText"/>
      </w:pPr>
      <w:hyperlink r:id="rId84">
        <w:r>
          <w:rPr>
            <w:rStyle w:val="Hyperlink"/>
          </w:rPr>
          <w:t xml:space="preserve">Documentação do keycloak</w:t>
        </w:r>
      </w:hyperlink>
    </w:p>
    <w:p>
      <w:pPr>
        <w:pStyle w:val="BodyText"/>
      </w:pPr>
      <w:hyperlink r:id="rId87">
        <w:r>
          <w:rPr>
            <w:rStyle w:val="Hyperlink"/>
          </w:rPr>
          <w:t xml:space="preserve">Documentação wazuh</w:t>
        </w:r>
      </w:hyperlink>
    </w:p>
    <w:p>
      <w:pPr>
        <w:pStyle w:val="BodyText"/>
      </w:pPr>
      <w:hyperlink r:id="rId91">
        <w:r>
          <w:rPr>
            <w:rStyle w:val="Hyperlink"/>
          </w:rPr>
          <w:t xml:space="preserve">OWASP documentação ZAP</w:t>
        </w:r>
      </w:hyperlink>
    </w:p>
    <w:p>
      <w:pPr>
        <w:pStyle w:val="BodyText"/>
      </w:pPr>
      <w:hyperlink r:id="rId93">
        <w:r>
          <w:rPr>
            <w:rStyle w:val="Hyperlink"/>
          </w:rPr>
          <w:t xml:space="preserve">Documentação trivy</w:t>
        </w:r>
      </w:hyperlink>
    </w:p>
    <w:p>
      <w:pPr>
        <w:pStyle w:val="BodyText"/>
      </w:pPr>
      <w:hyperlink r:id="rId96">
        <w:r>
          <w:rPr>
            <w:rStyle w:val="Hyperlink"/>
          </w:rPr>
          <w:t xml:space="preserve">Documentação do agente de política aberta</w:t>
        </w:r>
      </w:hyperlink>
    </w:p>
    <w:p>
      <w:pPr>
        <w:pStyle w:val="BodyText"/>
      </w:pPr>
      <w:hyperlink r:id="rId100">
        <w:r>
          <w:rPr>
            <w:rStyle w:val="Hyperlink"/>
          </w:rPr>
          <w:t xml:space="preserve">Documentação do Klaro!</w:t>
        </w:r>
      </w:hyperlink>
    </w:p>
    <w:p>
      <w:pPr>
        <w:pStyle w:val="BodyText"/>
      </w:pPr>
      <w:hyperlink r:id="rId103">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81"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75" Target="https://docs.open-metadata.org/" TargetMode="External" /><Relationship Type="http://schemas.openxmlformats.org/officeDocument/2006/relationships/hyperlink" Id="rId87"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40" Target="https://eur-lex.europa.eu/eli/reg/2016/679/oj/eng" TargetMode="External" /><Relationship Type="http://schemas.openxmlformats.org/officeDocument/2006/relationships/hyperlink" Id="rId103" Target="https://greenbone.github.io/docs/latest/" TargetMode="External" /><Relationship Type="http://schemas.openxmlformats.org/officeDocument/2006/relationships/hyperlink" Id="rId149" Target="https://intuitem.gitbook.io/ciso-assistant" TargetMode="External" /><Relationship Type="http://schemas.openxmlformats.org/officeDocument/2006/relationships/hyperlink" Id="rId100" Target="https://klaro.org/docs/" TargetMode="External" /><Relationship Type="http://schemas.openxmlformats.org/officeDocument/2006/relationships/hyperlink" Id="rId79" Target="https://microsoft.github.io/presidio/" TargetMode="External" /><Relationship Type="http://schemas.openxmlformats.org/officeDocument/2006/relationships/hyperlink" Id="rId9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48" Target="https://www.enisa.europa.eu/publications/handbook-on-security-of-personal-data-processing" TargetMode="External" /><Relationship Type="http://schemas.openxmlformats.org/officeDocument/2006/relationships/hyperlink" Id="rId84" Target="https://www.keycloak.org/guides" TargetMode="External" /><Relationship Type="http://schemas.openxmlformats.org/officeDocument/2006/relationships/hyperlink" Id="rId96" Target="https://www.openpolicyagent.org/docs" TargetMode="External" /><Relationship Type="http://schemas.openxmlformats.org/officeDocument/2006/relationships/hyperlink" Id="rId91"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2026-07-28T21:46:26Z</dcterms:created>
  <dcterms:modified xsi:type="dcterms:W3CDTF">2026-07-28T21:46:26Z</dcterms:modified>
</cp:coreProperties>
</file>

<file path=docProps/custom.xml><?xml version="1.0" encoding="utf-8"?>
<Properties xmlns="http://schemas.openxmlformats.org/officeDocument/2006/custom-properties" xmlns:vt="http://schemas.openxmlformats.org/officeDocument/2006/docPropsVTypes"/>
</file>