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Figura 9. Cadena de pruebas de evidencia</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manual-de-tprm-para-gerentes"/>
    <w:p>
      <w:pPr>
        <w:pStyle w:val="Heading1"/>
      </w:pPr>
      <w:r>
        <w:t xml:space="preserve">25. Manual de TPRM para gerentes</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rPr>
          <w:bCs/>
          <w:b/>
        </w:rPr>
        <w:t xml:space="preserve">Área del panel</w:t>
      </w:r>
      <w:r>
        <w:t xml:space="preserve"> </w:t>
      </w:r>
      <w:r>
        <w:t xml:space="preserve">|</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xsi="http://www.w3.org/2001/XMLSchema-instance">
  <dc:title>Third Party Risk Management and Cyber Supply Chain Security Manual Espanol — Spanish (Latin America)</dc:title>
  <dc:creator>Alberto (Al) Leiva</dc:creator>
  <cp:keywords/>
  <dcterms:created xsi:type="dcterms:W3CDTF">2026-07-31T15:06:35Z</dcterms:created>
  <dcterms:modified xsi:type="dcterms:W3CDTF">2026-07-31T15:06:35Z</dcterms:modified>
  <cp:lastModifiedBy>Alberto (Al) Leiva</cp:lastModifiedBy>
</cp:coreProperties>
</file>

<file path=docProps/custom.xml><?xml version="1.0" encoding="utf-8"?>
<Properties xmlns="http://schemas.openxmlformats.org/officeDocument/2006/custom-properties" xmlns:vt="http://schemas.openxmlformats.org/officeDocument/2006/docPropsVTypes"/>
</file>