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38 — Implementação Controlada da FERPA</w:t>
      </w:r>
    </w:p>
    <w:p>
      <w:pPr>
        <w:spacing w:after="120"/>
      </w:pPr>
      <w:r>
        <w:t>**Linha de base controlada:** Family Educational Rights and Privacy Act, 20 U.S.C. § 1232g, e 34 CFR Part 99.</w:t>
      </w:r>
    </w:p>
    <w:p>
      <w:pPr>
        <w:spacing w:after="120"/>
      </w:pPr>
      <w:r>
        <w:t>**Limite:** orientação do Department of Education, leis estaduais de privacidade estudantil, contratos, grants e práticas organizacionais permanecem separadas do estatuto e regulamento FERPA.</w:t>
      </w:r>
    </w:p>
    <w:p>
      <w:pPr>
        <w:spacing w:after="120"/>
      </w:pPr>
      <w:r>
        <w:t>**Regra de release:** reverificar e-CFR Part 99 vigente e fontes do Department ao congelar o candidato.</w:t>
      </w:r>
    </w:p>
    <w:p>
      <w:pPr>
        <w:pStyle w:val="Heading2"/>
      </w:pPr>
      <w:r>
        <w:t>Chapter 01 — Objetivo, escopo e hierarquia controlada de fontes</w:t>
      </w:r>
    </w:p>
    <w:p>
      <w:pPr>
        <w:spacing w:after="120"/>
      </w:pPr>
      <w:r>
        <w:t>Estabeleça escopo FERPA, fontes autoritativas, ownership e change control. Não trate guidance, lei estadual ou termos contratuais como regulação FERPA.</w:t>
      </w:r>
    </w:p>
    <w:p>
      <w:pPr>
        <w:spacing w:after="120"/>
      </w:pPr>
      <w:r>
        <w:t>Mantenha registro de aplicabilidade, fontes, responsáveis, change watch e índice de evidências.</w:t>
      </w:r>
    </w:p>
    <w:p>
      <w:pPr>
        <w:pStyle w:val="Heading2"/>
      </w:pPr>
      <w:r>
        <w:t>Chapter 02 — Aplicabilidade FERPA e education records cobertos</w:t>
      </w:r>
    </w:p>
    <w:p>
      <w:pPr>
        <w:spacing w:after="120"/>
      </w:pPr>
      <w:r>
        <w:t>Determine se organização, população estudantil, registro e atividade estão dentro da FERPA. Documente exclusões, populações especiais e registros fora da definição aplicável.</w:t>
      </w:r>
    </w:p>
    <w:p>
      <w:pPr>
        <w:spacing w:after="120"/>
      </w:pPr>
      <w:r>
        <w:t>Preserve decisões de aplicabilidade, classificação, inventários, custodians e evidência de review quando houver ambiguidade.</w:t>
      </w:r>
    </w:p>
    <w:p>
      <w:pPr>
        <w:pStyle w:val="Heading2"/>
      </w:pPr>
      <w:r>
        <w:t>Chapter 03 — Eligible student, pais e transições de autoridade</w:t>
      </w:r>
    </w:p>
    <w:p>
      <w:pPr>
        <w:spacing w:after="120"/>
      </w:pPr>
      <w:r>
        <w:t>Defina quando os pais exercem direitos e quando estes passam ao eligible student. Considere nível educacional, idade, attendance, representação e autoridade válida.</w:t>
      </w:r>
    </w:p>
    <w:p>
      <w:pPr>
        <w:spacing w:after="120"/>
      </w:pPr>
      <w:r>
        <w:t>Mantenha registros de autoridade, triggers de transição, identity controls e escalations.</w:t>
      </w:r>
    </w:p>
    <w:p>
      <w:pPr>
        <w:pStyle w:val="Heading2"/>
      </w:pPr>
      <w:r>
        <w:t>Chapter 04 — Inventário de education records e data-flow mapping</w:t>
      </w:r>
    </w:p>
    <w:p>
      <w:pPr>
        <w:spacing w:after="120"/>
      </w:pPr>
      <w:r>
        <w:t>Inventarie repositories, aplicações, paper files, communications, integrations, backups, archives e plataformas de terceiros com possíveis education records.</w:t>
      </w:r>
    </w:p>
    <w:p>
      <w:pPr>
        <w:spacing w:after="120"/>
      </w:pPr>
      <w:r>
        <w:t>Mantenha data-flow diagrams, owners, locations, purposes, categories, access paths, transfer points e retention dependencies.</w:t>
      </w:r>
    </w:p>
    <w:p>
      <w:pPr>
        <w:pStyle w:val="Heading2"/>
      </w:pPr>
      <w:r>
        <w:t>Chapter 05 — Classificação de registros e regras de handling</w:t>
      </w:r>
    </w:p>
    <w:p>
      <w:pPr>
        <w:spacing w:after="120"/>
      </w:pPr>
      <w:r>
        <w:t>Defina classes operacionais para FERPA-covered records e diferencie directory information, sole-possession, law-enforcement-unit, employment, treatment, alumni e outras categorias conforme aplicável.</w:t>
      </w:r>
    </w:p>
    <w:p>
      <w:pPr>
        <w:spacing w:after="120"/>
      </w:pPr>
      <w:r>
        <w:t>Mantenha regras, exemplos, decisões, exceptions e change history.</w:t>
      </w:r>
    </w:p>
    <w:p>
      <w:pPr>
        <w:pStyle w:val="Heading2"/>
      </w:pPr>
      <w:r>
        <w:t>Chapter 06 — Governance, accountability e policy ownership</w:t>
      </w:r>
    </w:p>
    <w:p>
      <w:pPr>
        <w:spacing w:after="120"/>
      </w:pPr>
      <w:r>
        <w:t>Atribua funções executivas, privacy, records, security, registrar, legal, academic, IT, procurement e operations. Defina approvals, escalation, risk acceptance e management review.</w:t>
      </w:r>
    </w:p>
    <w:p>
      <w:pPr>
        <w:spacing w:after="120"/>
      </w:pPr>
      <w:r>
        <w:t>Mantenha RACI, policy approvals, control owners, exception logs e corrective actions.</w:t>
      </w:r>
    </w:p>
    <w:p>
      <w:pPr>
        <w:pStyle w:val="Heading2"/>
      </w:pPr>
      <w:r>
        <w:t>Chapter 07 — Aviso de direitos FERPA</w:t>
      </w:r>
    </w:p>
    <w:p>
      <w:pPr>
        <w:spacing w:after="120"/>
      </w:pPr>
      <w:r>
        <w:t>Defina como o notice de direitos é preparado, aprovado, entregue, tornado acessível e atualizado para estudantes/pais aplicáveis.</w:t>
      </w:r>
    </w:p>
    <w:p>
      <w:pPr>
        <w:spacing w:after="120"/>
      </w:pPr>
      <w:r>
        <w:t>Mantenha versões, publication dates, delivery evidence, accessibility review e decisões de language support.</w:t>
      </w:r>
    </w:p>
    <w:p>
      <w:pPr>
        <w:pStyle w:val="Heading2"/>
      </w:pPr>
      <w:r>
        <w:t>Chapter 08 — Governance de consentimento</w:t>
      </w:r>
    </w:p>
    <w:p>
      <w:pPr>
        <w:spacing w:after="120"/>
      </w:pPr>
      <w:r>
        <w:t>Implemente processo controlado para obter/documentar consentimento quando necessário. Registre records, purpose, recipients, authorization, date e revocation handling.</w:t>
      </w:r>
    </w:p>
    <w:p>
      <w:pPr>
        <w:spacing w:after="120"/>
      </w:pPr>
      <w:r>
        <w:t>Mantenha consent forms, electronic evidence, identity validation e exception rationale.</w:t>
      </w:r>
    </w:p>
    <w:p>
      <w:pPr>
        <w:pStyle w:val="Heading2"/>
      </w:pPr>
      <w:r>
        <w:t>Chapter 09 — Framework de decisão para disclosure exceptions</w:t>
      </w:r>
    </w:p>
    <w:p>
      <w:pPr>
        <w:spacing w:after="120"/>
      </w:pPr>
      <w:r>
        <w:t>Exija análise documentada antes de usar uma exceção de divulgação sem consentimento. Evite tratar exceptions como permissões gerais.</w:t>
      </w:r>
    </w:p>
    <w:p>
      <w:pPr>
        <w:spacing w:after="120"/>
      </w:pPr>
      <w:r>
        <w:t>Mantenha source citation, purpose, data scope, recipient, conditions, duration, approval e reassessment triggers.</w:t>
      </w:r>
    </w:p>
    <w:p>
      <w:pPr>
        <w:pStyle w:val="Heading2"/>
      </w:pPr>
      <w:r>
        <w:t>Chapter 10 — School official e legitimate educational interest</w:t>
      </w:r>
    </w:p>
    <w:p>
      <w:pPr>
        <w:spacing w:after="120"/>
      </w:pPr>
      <w:r>
        <w:t>Quando esta exceção for utilizada, defina critérios para school officials e legitimate educational interests, inclusive contractors/vendors quando aplicável.</w:t>
      </w:r>
    </w:p>
    <w:p>
      <w:pPr>
        <w:spacing w:after="120"/>
      </w:pPr>
      <w:r>
        <w:t>Mantenha criteria, annual-notice alignment, contracts, use restrictions, approvals, oversight e termination controls.</w:t>
      </w:r>
    </w:p>
    <w:p>
      <w:pPr>
        <w:pStyle w:val="Heading2"/>
      </w:pPr>
      <w:r>
        <w:t>Chapter 11 — Governance de directory information</w:t>
      </w:r>
    </w:p>
    <w:p>
      <w:pPr>
        <w:spacing w:after="120"/>
      </w:pPr>
      <w:r>
        <w:t>Defina designações institucionais, notice, opt-out, suppression controls, timing e downstream handling.</w:t>
      </w:r>
    </w:p>
    <w:p>
      <w:pPr>
        <w:spacing w:after="120"/>
      </w:pPr>
      <w:r>
        <w:t>Mantenha designation decisions, notices, opt-outs, suppression flags, disclosure controls e periodic testing.</w:t>
      </w:r>
    </w:p>
    <w:p>
      <w:pPr>
        <w:pStyle w:val="Heading2"/>
      </w:pPr>
      <w:r>
        <w:t>Chapter 12 — Access and inspection requests</w:t>
      </w:r>
    </w:p>
    <w:p>
      <w:pPr>
        <w:spacing w:after="120"/>
      </w:pPr>
      <w:r>
        <w:t>Implemente workflow documentado para pais ou eligible students inspecionarem/revisarem education records nos prazos e condições aplicáveis.</w:t>
      </w:r>
    </w:p>
    <w:p>
      <w:pPr>
        <w:spacing w:after="120"/>
      </w:pPr>
      <w:r>
        <w:t>Mantenha request logs, identity/authority validation, search records, responsive-record inventories, timing, communications e closure.</w:t>
      </w:r>
    </w:p>
    <w:p>
      <w:pPr>
        <w:pStyle w:val="Heading2"/>
      </w:pPr>
      <w:r>
        <w:t>Chapter 13 — Amendment requests e hearings</w:t>
      </w:r>
    </w:p>
    <w:p>
      <w:pPr>
        <w:spacing w:after="120"/>
      </w:pPr>
      <w:r>
        <w:t>Defina processos para pedidos de amendment de registros dentro do framework FERPA, incluindo escalation e hearing quando aplicável.</w:t>
      </w:r>
    </w:p>
    <w:p>
      <w:pPr>
        <w:spacing w:after="120"/>
      </w:pPr>
      <w:r>
        <w:t>Mantenha requests, determinations, evidence, hearing records, statements, notices e timing metrics.</w:t>
      </w:r>
    </w:p>
    <w:p>
      <w:pPr>
        <w:pStyle w:val="Heading2"/>
      </w:pPr>
      <w:r>
        <w:t>Chapter 14 — Identity, authentication e representative access</w:t>
      </w:r>
    </w:p>
    <w:p>
      <w:pPr>
        <w:spacing w:after="120"/>
      </w:pPr>
      <w:r>
        <w:t>Aplique verificação proporcional de identidade e autoridade antes de permitir acesso ou aceitar rights requests. Evite coleta excessiva de verification data.</w:t>
      </w:r>
    </w:p>
    <w:p>
      <w:pPr>
        <w:spacing w:after="120"/>
      </w:pPr>
      <w:r>
        <w:t>Mantenha verification method, representative authority, failed-verification handling, secure delivery e audit evidence.</w:t>
      </w:r>
    </w:p>
    <w:p>
      <w:pPr>
        <w:pStyle w:val="Heading2"/>
      </w:pPr>
      <w:r>
        <w:t>Chapter 15 — Disclosure recordkeeping</w:t>
      </w:r>
    </w:p>
    <w:p>
      <w:pPr>
        <w:spacing w:after="120"/>
      </w:pPr>
      <w:r>
        <w:t>Mantenha records exigidos de disclosures e requests for disclosures, incluindo parties, legitimate interests e downstream conditions quando aplicável.</w:t>
      </w:r>
    </w:p>
    <w:p>
      <w:pPr>
        <w:spacing w:after="120"/>
      </w:pPr>
      <w:r>
        <w:t>Defina system of record, retention, linkage, exceptions, quality checks e access controls.</w:t>
      </w:r>
    </w:p>
    <w:p>
      <w:pPr>
        <w:pStyle w:val="Heading2"/>
      </w:pPr>
      <w:r>
        <w:t>Chapter 16 — Redisclosure restrictions e downstream controls</w:t>
      </w:r>
    </w:p>
    <w:p>
      <w:pPr>
        <w:spacing w:after="120"/>
      </w:pPr>
      <w:r>
        <w:t>Quando aplicáveis, comunique redisclosure conditions e mantenha mecanismos para prevenir/detectar unauthorized onward disclosure.</w:t>
      </w:r>
    </w:p>
    <w:p>
      <w:pPr>
        <w:spacing w:after="120"/>
      </w:pPr>
      <w:r>
        <w:t>Mantenha disclosure terms, recipient acknowledgements, contracts, permitted-purpose evidence, incident escalation e corrective actions.</w:t>
      </w:r>
    </w:p>
    <w:p>
      <w:pPr>
        <w:pStyle w:val="Heading2"/>
      </w:pPr>
      <w:r>
        <w:t>Chapter 17 — Studies exception governance</w:t>
      </w:r>
    </w:p>
    <w:p>
      <w:pPr>
        <w:spacing w:after="120"/>
      </w:pPr>
      <w:r>
        <w:t>Exija applicability documentada, written agreements quando necessários, purpose limitation, data minimization, security, destruction requirements e oversight.</w:t>
      </w:r>
    </w:p>
    <w:p>
      <w:pPr>
        <w:spacing w:after="120"/>
      </w:pPr>
      <w:r>
        <w:t>Mantenha study approvals, agreements, data inventories, access lists, destruction evidence e closeout records.</w:t>
      </w:r>
    </w:p>
    <w:p>
      <w:pPr>
        <w:pStyle w:val="Heading2"/>
      </w:pPr>
      <w:r>
        <w:t>Chapter 18 — Audit/evaluation exception governance</w:t>
      </w:r>
    </w:p>
    <w:p>
      <w:pPr>
        <w:spacing w:after="120"/>
      </w:pPr>
      <w:r>
        <w:t>Documente authorized representatives, program/legal authority, purpose, data scope, written terms quando necessários, safeguards e destruction requirements.</w:t>
      </w:r>
    </w:p>
    <w:p>
      <w:pPr>
        <w:spacing w:after="120"/>
      </w:pPr>
      <w:r>
        <w:t>Mantenha authorization, agreements, transfer records, oversight, destruction evidence e issue logs.</w:t>
      </w:r>
    </w:p>
    <w:p>
      <w:pPr>
        <w:pStyle w:val="Heading2"/>
      </w:pPr>
      <w:r>
        <w:t>Chapter 19 — Financial-aid disclosures</w:t>
      </w:r>
    </w:p>
    <w:p>
      <w:pPr>
        <w:spacing w:after="120"/>
      </w:pPr>
      <w:r>
        <w:t>Quando usada a exceção, documente purpose aplicável e limite disclosure a eligibility, amount, conditions ou enforcement conforme aplicável.</w:t>
      </w:r>
    </w:p>
    <w:p>
      <w:pPr>
        <w:spacing w:after="120"/>
      </w:pPr>
      <w:r>
        <w:t>Mantenha purpose records, recipient authorization, data minimization e disclosure logs.</w:t>
      </w:r>
    </w:p>
    <w:p>
      <w:pPr>
        <w:pStyle w:val="Heading2"/>
      </w:pPr>
      <w:r>
        <w:t>Chapter 20 — Health or safety emergency decisions</w:t>
      </w:r>
    </w:p>
    <w:p>
      <w:pPr>
        <w:spacing w:after="120"/>
      </w:pPr>
      <w:r>
        <w:t>Estabeleça processo documentado para disclosures sob a exceção de emergency, incluindo análise de articulable and significant threat quando aplicável.</w:t>
      </w:r>
    </w:p>
    <w:p>
      <w:pPr>
        <w:spacing w:after="120"/>
      </w:pPr>
      <w:r>
        <w:t>Mantenha decision evidence, threat rationale, recipients, data disclosed, timing, decision authority e post-event review.</w:t>
      </w:r>
    </w:p>
    <w:p>
      <w:pPr>
        <w:pStyle w:val="Heading2"/>
      </w:pPr>
      <w:r>
        <w:t>Chapter 21 — Judicial orders e lawfully issued subpoenas</w:t>
      </w:r>
    </w:p>
    <w:p>
      <w:pPr>
        <w:spacing w:after="120"/>
      </w:pPr>
      <w:r>
        <w:t>Encaminhe court orders, subpoenas e demandas similares para controlled legal/privacy review. Determine notice requirements e exceptions antes da disclosure.</w:t>
      </w:r>
    </w:p>
    <w:p>
      <w:pPr>
        <w:spacing w:after="120"/>
      </w:pPr>
      <w:r>
        <w:t>Mantenha demand intake, validation, legal analysis, notice determination, record scope, production evidence e closure.</w:t>
      </w:r>
    </w:p>
    <w:p>
      <w:pPr>
        <w:pStyle w:val="Heading2"/>
      </w:pPr>
      <w:r>
        <w:t>Chapter 22 — Vendor e third-party lifecycle governance</w:t>
      </w:r>
    </w:p>
    <w:p>
      <w:pPr>
        <w:spacing w:after="120"/>
      </w:pPr>
      <w:r>
        <w:t>Aplique FERPA-specific due diligence a vendors que recebam, mantenham, processem ou acessem education records. Avalie purpose, access, control, redisclosure, security, subcontractors, retention, deletion e incident terms.</w:t>
      </w:r>
    </w:p>
    <w:p>
      <w:pPr>
        <w:spacing w:after="120"/>
      </w:pPr>
      <w:r>
        <w:t>Mantenha vendor inventory, applicability assessment, contract checklist, approvals, monitoring e termination evidence.</w:t>
      </w:r>
    </w:p>
    <w:p>
      <w:pPr>
        <w:pStyle w:val="Heading2"/>
      </w:pPr>
      <w:r>
        <w:t>Chapter 23 — Cloud, SaaS, analytics e digital learning platforms</w:t>
      </w:r>
    </w:p>
    <w:p>
      <w:pPr>
        <w:spacing w:after="120"/>
      </w:pPr>
      <w:r>
        <w:t>Mapeie responsabilidades FERPA em cloud, SaaS, LMS, collaboration, analytics, AI e digital-learning services. Documente data flows, roles, defaults, telemetry, exports e secondary-use risks.</w:t>
      </w:r>
    </w:p>
    <w:p>
      <w:pPr>
        <w:spacing w:after="120"/>
      </w:pPr>
      <w:r>
        <w:t>Mantenha architecture diagrams, settings baselines, data-use assessments, integration approvals e exit plans.</w:t>
      </w:r>
    </w:p>
    <w:p>
      <w:pPr>
        <w:pStyle w:val="Heading2"/>
      </w:pPr>
      <w:r>
        <w:t>Chapter 24 — Security safeguards e access governance</w:t>
      </w:r>
    </w:p>
    <w:p>
      <w:pPr>
        <w:spacing w:after="120"/>
      </w:pPr>
      <w:r>
        <w:t>Implemente safeguards administrativos, técnicos e físicos baseados em risco. Mantenha separados os requisitos de privacy FERPA e outras obrigações de security que possam coexistir.</w:t>
      </w:r>
    </w:p>
    <w:p>
      <w:pPr>
        <w:spacing w:after="120"/>
      </w:pPr>
      <w:r>
        <w:t>Mantenha access matrices, authentication, encryption decisions, logging, vulnerability management, secure configuration e corrective actions.</w:t>
      </w:r>
    </w:p>
    <w:p>
      <w:pPr>
        <w:pStyle w:val="Heading2"/>
      </w:pPr>
      <w:r>
        <w:t>Chapter 25 — Incident response e unauthorized disclosure</w:t>
      </w:r>
    </w:p>
    <w:p>
      <w:pPr>
        <w:spacing w:after="120"/>
      </w:pPr>
      <w:r>
        <w:t>Integre potenciais incidentes FERPA a incident response, evidence preservation, legal/privacy analysis, contract notification, state-law analysis e Department-facing processes quando aplicável.</w:t>
      </w:r>
    </w:p>
    <w:p>
      <w:pPr>
        <w:spacing w:after="120"/>
      </w:pPr>
      <w:r>
        <w:t>Mantenha incident records, affected-record analysis, decisions, communications, remediation e lessons learned.</w:t>
      </w:r>
    </w:p>
    <w:p>
      <w:pPr>
        <w:pStyle w:val="Heading2"/>
      </w:pPr>
      <w:r>
        <w:t>Chapter 26 — State student-privacy e sector overlays</w:t>
      </w:r>
    </w:p>
    <w:p>
      <w:pPr>
        <w:spacing w:after="120"/>
      </w:pPr>
      <w:r>
        <w:t>Mantenha overlay process separado para student-data laws estaduais, K-12, higher education, licensure, grants e outros regimes aplicáveis.</w:t>
      </w:r>
    </w:p>
    <w:p>
      <w:pPr>
        <w:spacing w:after="120"/>
      </w:pPr>
      <w:r>
        <w:t>Não represente overlay duties como FERPA duties. Mantenha applicability matrices, sources, conflicts, owners e implementation decisions.</w:t>
      </w:r>
    </w:p>
    <w:p>
      <w:pPr>
        <w:pStyle w:val="Heading2"/>
      </w:pPr>
      <w:r>
        <w:t>Chapter 27 — Retention, deletion, archival e defensible disposal</w:t>
      </w:r>
    </w:p>
    <w:p>
      <w:pPr>
        <w:spacing w:after="120"/>
      </w:pPr>
      <w:r>
        <w:t>Defina retention/disposal com base em requisitos legais, records, litigation holds, accreditation, contracts e business needs. Não apresente FERPA como retention schedule universal.</w:t>
      </w:r>
    </w:p>
    <w:p>
      <w:pPr>
        <w:spacing w:after="120"/>
      </w:pPr>
      <w:r>
        <w:t>Mantenha schedules, holds, deletion approvals, archive controls, vendor deletion evidence e disposal records.</w:t>
      </w:r>
    </w:p>
    <w:p>
      <w:pPr>
        <w:pStyle w:val="Heading2"/>
      </w:pPr>
      <w:r>
        <w:t>Chapter 28 — Training e role competence</w:t>
      </w:r>
    </w:p>
    <w:p>
      <w:pPr>
        <w:spacing w:after="120"/>
      </w:pPr>
      <w:r>
        <w:t>Forneça role-based training para pessoal que lida com education records, rights requests, disclosures, vendor oversight, security, records management e emergency decisions.</w:t>
      </w:r>
    </w:p>
    <w:p>
      <w:pPr>
        <w:spacing w:after="120"/>
      </w:pPr>
      <w:r>
        <w:t>Mantenha curricula, completion evidence, role mapping, competency checks e remediation.</w:t>
      </w:r>
    </w:p>
    <w:p>
      <w:pPr>
        <w:pStyle w:val="Heading2"/>
      </w:pPr>
      <w:r>
        <w:t>Chapter 29 — Assurance, testing e audit evidence</w:t>
      </w:r>
    </w:p>
    <w:p>
      <w:pPr>
        <w:spacing w:after="120"/>
      </w:pPr>
      <w:r>
        <w:t>Teste controles FERPA com amostras de notices, consents, disclosures, exception decisions, requests, vendor records, access controls, incident handling e deletion evidence.</w:t>
      </w:r>
    </w:p>
    <w:p>
      <w:pPr>
        <w:spacing w:after="120"/>
      </w:pPr>
      <w:r>
        <w:t>Mantenha test plans, samples, results, findings, root causes, corrective actions, retests e management reporting.</w:t>
      </w:r>
    </w:p>
    <w:p>
      <w:pPr>
        <w:pStyle w:val="Heading2"/>
      </w:pPr>
      <w:r>
        <w:t>Chapter 30 — Metrics, management review e continual improvement</w:t>
      </w:r>
    </w:p>
    <w:p>
      <w:pPr>
        <w:spacing w:after="120"/>
      </w:pPr>
      <w:r>
        <w:t>Defina indicadores de request timeliness, unresolved exceptions, vendor findings, disclosure-record quality, access-review exceptions, training completion, incidents, remediation aging e change-watch status.</w:t>
      </w:r>
    </w:p>
    <w:p>
      <w:pPr>
        <w:spacing w:after="120"/>
      </w:pPr>
      <w:r>
        <w:t>Management review deve registrar decisões, recursos, risk acceptance, corrective actions e improvement priorities.</w:t>
      </w:r>
    </w:p>
    <w:p>
      <w:pPr>
        <w:pStyle w:val="Heading2"/>
      </w:pPr>
      <w:r>
        <w:t>Chapter 31 — Exact-hash, localization, provenance e release evidence</w:t>
      </w:r>
    </w:p>
    <w:p>
      <w:pPr>
        <w:spacing w:after="120"/>
      </w:pPr>
      <w:r>
        <w:t>Congele candidatos EN/es-419/pt-BR antes de substantive review. Vincule DOCX/PDF a SHA-256 e preserve accessibility, rendered-page, localization, workflow-security e release-QA evidence.</w:t>
      </w:r>
    </w:p>
    <w:p>
      <w:pPr>
        <w:spacing w:after="120"/>
      </w:pPr>
      <w:r>
        <w:t>Qualquer material change após freeze exige supersession, regeneration, re-hashing e re-review dos gates afetados.</w:t>
      </w:r>
    </w:p>
    <w:p>
      <w:pPr>
        <w:pStyle w:val="Heading2"/>
      </w:pPr>
      <w:r>
        <w:t>Chapter 32 — Implementation roadmap e release-time reverification</w:t>
      </w:r>
    </w:p>
    <w:p>
      <w:pPr>
        <w:spacing w:after="120"/>
      </w:pPr>
      <w:r>
        <w:t>Implemente em fases: applicability/inventory; governance/notices; rights/consent; disclosure exceptions; vendors/platforms; security/incidents; assurance; metrics; continual improvement.</w:t>
      </w:r>
    </w:p>
    <w:p>
      <w:pPr>
        <w:spacing w:after="120"/>
      </w:pPr>
      <w:r>
        <w:t>Antes da publicação, reverifique 20 U.S.C. § 1232g, 34 CFR Part 99, Department of Education FERPA source materials e overlays expressamente citados. Publicação permanece sequencial após Manual 37 e exige todos os objective release gates em verde.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