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2"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width:6.15in;height:2.9808in</w:t>
      </w:r>
      <w:r>
        <w:t xml:space="preserve">”</w:t>
      </w:r>
      <w:r>
        <w:t xml:space="preserve"> </w:t>
      </w:r>
      <w:r>
        <w:t xml:space="preserve">alt=</w:t>
      </w:r>
      <w:r>
        <w:t xml:space="preserve">“</w:t>
      </w:r>
      <w:r>
        <w:t xml:space="preserve">Privacy, Security, Breach Notification, and Enforcement are connected.</w:t>
      </w:r>
      <w:r>
        <w:t xml:space="preserve">”</w:t>
      </w:r>
      <w:r>
        <w:t xml:space="preserve"> </w:t>
      </w:r>
      <w:r>
        <w:t xml:space="preserve">/</w:t>
      </w:r>
    </w:p>
    <w:p>
      <w:pPr>
        <w:pStyle w:val="BodyText"/>
      </w:pPr>
      <w:r>
        <w:t xml:space="preserve">Figura 1. Las principales áreas de cumplimiento HIPAA</w:t>
      </w:r>
    </w:p>
    <w:bookmarkStart w:id="25"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5"/>
    <w:bookmarkStart w:id="26"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6"/>
    <w:bookmarkStart w:id="27"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width:6.15in;height:3.27065in</w:t>
      </w:r>
      <w:r>
        <w:t xml:space="preserve">”</w:t>
      </w:r>
      <w:r>
        <w:t xml:space="preserve"> </w:t>
      </w:r>
      <w:r>
        <w:t xml:space="preserve">alt=</w:t>
      </w:r>
      <w:r>
        <w:t xml:space="preserve">“</w:t>
      </w:r>
      <w:r>
        <w:t xml:space="preserve">PHI es creado, utilizado, compartido, almacenado y destruido a través de su ciclo de vida.</w:t>
      </w:r>
      <w:r>
        <w:t xml:space="preserve">”</w:t>
      </w:r>
      <w:r>
        <w:t xml:space="preserve"> </w:t>
      </w:r>
      <w:r>
        <w:t xml:space="preserve">/</w:t>
      </w:r>
    </w:p>
    <w:p>
      <w:pPr>
        <w:pStyle w:val="BodyText"/>
      </w:pPr>
      <w:r>
        <w:t xml:space="preserve">Figura 2. Ciclo de vida de la PHI</w:t>
      </w:r>
    </w:p>
    <w:bookmarkEnd w:id="27"/>
    <w:bookmarkStart w:id="28"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28"/>
    <w:bookmarkStart w:id="29"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29"/>
    <w:bookmarkStart w:id="30"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0"/>
    <w:bookmarkStart w:id="31"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1"/>
    <w:bookmarkEnd w:id="32"/>
    <w:bookmarkStart w:id="41"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3"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3"/>
    <w:bookmarkStart w:id="34"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34"/>
    <w:bookmarkStart w:id="35"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35"/>
    <w:bookmarkStart w:id="36"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36"/>
    <w:bookmarkStart w:id="37"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37"/>
    <w:bookmarkStart w:id="38"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38"/>
    <w:bookmarkStart w:id="39"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39"/>
    <w:bookmarkStart w:id="40"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0"/>
    <w:bookmarkEnd w:id="41"/>
    <w:bookmarkStart w:id="46"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width:6.15in;height:3.33266in</w:t>
      </w:r>
      <w:r>
        <w:t xml:space="preserve">”</w:t>
      </w:r>
      <w:r>
        <w:t xml:space="preserve"> </w:t>
      </w:r>
      <w:r>
        <w:t xml:space="preserve">alt=</w:t>
      </w:r>
      <w:r>
        <w:t xml:space="preserve">“</w:t>
      </w:r>
      <w:r>
        <w:t xml:space="preserve">Las salvaguardias administrativas, físicas y técnicas dependen del análisis de riesgos.</w:t>
      </w:r>
      <w:r>
        <w:t xml:space="preserve">”</w:t>
      </w:r>
      <w:r>
        <w:t xml:space="preserve"> </w:t>
      </w:r>
      <w:r>
        <w:t xml:space="preserve">/</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42"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42"/>
    <w:bookmarkStart w:id="43"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43"/>
    <w:bookmarkStart w:id="44"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44"/>
    <w:bookmarkStart w:id="45"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45"/>
    <w:bookmarkEnd w:id="46"/>
    <w:bookmarkStart w:id="50"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47"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BodyText"/>
      </w:pPr>
      <w:r>
        <w:t xml:space="preserve">■img src=</w:t>
      </w:r>
      <w:r>
        <w:t xml:space="preserve">“</w:t>
      </w:r>
      <w:r>
        <w:t xml:space="preserve">media/image4.png</w:t>
      </w:r>
      <w:r>
        <w:t xml:space="preserve">”</w:t>
      </w:r>
      <w:r>
        <w:t xml:space="preserve"> </w:t>
      </w:r>
      <w:r>
        <w:t xml:space="preserve">estilo=</w:t>
      </w:r>
      <w:r>
        <w:t xml:space="preserve">“</w:t>
      </w:r>
      <w:r>
        <w:t xml:space="preserve">Ancho:6.15in; Altura:3.45654in</w:t>
      </w:r>
      <w:r>
        <w:t xml:space="preserve">”</w:t>
      </w:r>
      <w:r>
        <w:t xml:space="preserve"> </w:t>
      </w:r>
      <w:r>
        <w:t xml:space="preserve">alt=</w:t>
      </w:r>
      <w:r>
        <w:t xml:space="preserve">“</w:t>
      </w:r>
      <w:r>
        <w:t xml:space="preserve">Descubrimiento, contención, evaluación, notificación y mejora de un proceso.</w:t>
      </w:r>
      <w:r>
        <w:t xml:space="preserve">”</w:t>
      </w:r>
      <w:r>
        <w:t xml:space="preserve"> </w:t>
      </w:r>
      <w:r>
        <w:t xml:space="preserve">/</w:t>
      </w:r>
    </w:p>
    <w:p>
      <w:pPr>
        <w:pStyle w:val="BodyText"/>
      </w:pPr>
      <w:r>
        <w:t xml:space="preserve">Figura 4. Flujo de trabajo de ruptura HIPAA</w:t>
      </w:r>
    </w:p>
    <w:bookmarkEnd w:id="47"/>
    <w:bookmarkStart w:id="48"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48"/>
    <w:bookmarkStart w:id="49"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49"/>
    <w:bookmarkEnd w:id="50"/>
    <w:bookmarkStart w:id="53"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51"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51"/>
    <w:bookmarkStart w:id="52"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52"/>
    <w:bookmarkEnd w:id="53"/>
    <w:bookmarkStart w:id="61"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54"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54"/>
    <w:bookmarkStart w:id="55"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55"/>
    <w:bookmarkStart w:id="56"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56"/>
    <w:bookmarkStart w:id="57"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57"/>
    <w:bookmarkStart w:id="58"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58"/>
    <w:bookmarkStart w:id="59"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59"/>
    <w:bookmarkStart w:id="60"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60"/>
    <w:bookmarkEnd w:id="61"/>
    <w:bookmarkStart w:id="68"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62"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62"/>
    <w:bookmarkStart w:id="63"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63"/>
    <w:bookmarkStart w:id="64"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64"/>
    <w:bookmarkStart w:id="65"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BodyText"/>
      </w:pPr>
      <w:r>
        <w:t xml:space="preserve">Altura:3.56987in” alt=</w:t>
      </w:r>
      <w:r>
        <w:t xml:space="preserve">“</w:t>
      </w:r>
      <w:r>
        <w:t xml:space="preserve">Empieza con el requisito y el alcance, prueba el control, las excepciones correctas y la prueba antes de concluir.</w:t>
      </w:r>
      <w:r>
        <w:t xml:space="preserve">”</w:t>
      </w:r>
      <w:r>
        <w:t xml:space="preserve"> </w:t>
      </w:r>
      <w:r>
        <w:t xml:space="preserve">/ Propiedad</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65"/>
    <w:bookmarkStart w:id="66"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66"/>
    <w:bookmarkStart w:id="67"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67"/>
    <w:bookmarkEnd w:id="68"/>
    <w:bookmarkStart w:id="72"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69"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69"/>
    <w:bookmarkStart w:id="70"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70"/>
    <w:bookmarkStart w:id="71"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71"/>
    <w:bookmarkEnd w:id="72"/>
    <w:bookmarkStart w:id="76"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BodyText"/>
      </w:pPr>
      <w:r>
        <w:t xml:space="preserve">■img src=</w:t>
      </w:r>
      <w:r>
        <w:t xml:space="preserve">“</w:t>
      </w:r>
      <w:r>
        <w:t xml:space="preserve">media/image6.png</w:t>
      </w:r>
      <w:r>
        <w:t xml:space="preserve">”</w:t>
      </w:r>
      <w:r>
        <w:t xml:space="preserve"> </w:t>
      </w:r>
      <w:r>
        <w:t xml:space="preserve">style=</w:t>
      </w:r>
      <w:r>
        <w:t xml:space="preserve">“</w:t>
      </w:r>
      <w:r>
        <w:t xml:space="preserve">width:6.15in;height:3.31039in</w:t>
      </w:r>
      <w:r>
        <w:t xml:space="preserve">”</w:t>
      </w:r>
      <w:r>
        <w:t xml:space="preserve"> </w:t>
      </w:r>
      <w:r>
        <w:t xml:space="preserve">alt=</w:t>
      </w:r>
      <w:r>
        <w:t xml:space="preserve">“</w:t>
      </w:r>
      <w:r>
        <w:t xml:space="preserve">Aprendizaje, mapeo, pruebas, documentación y aplicación de empleo forman una trayectoria profesional</w:t>
      </w:r>
      <w:r>
        <w:t xml:space="preserve">”</w:t>
      </w:r>
      <w:r>
        <w:t xml:space="preserve">. /</w:t>
      </w:r>
    </w:p>
    <w:p>
      <w:pPr>
        <w:pStyle w:val="BodyText"/>
      </w:pPr>
      <w:r>
        <w:t xml:space="preserve">Figura 5. Vía analista Junior HIPAA</w:t>
      </w:r>
    </w:p>
    <w:bookmarkStart w:id="73"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73"/>
    <w:bookmarkStart w:id="74"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74"/>
    <w:bookmarkStart w:id="75"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75"/>
    <w:bookmarkEnd w:id="76"/>
    <w:bookmarkStart w:id="114"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77"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77"/>
    <w:bookmarkStart w:id="78"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78"/>
    <w:bookmarkStart w:id="79"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FirstParagraph"/>
      </w:pPr>
      <w:r>
        <w:t xml:space="preserve">“</w:t>
      </w:r>
      <w:r>
        <w:t xml:space="preserve">Un informe no es prueba, autorización, validación, remediación y retesting crear la cadena de evidencia</w:t>
      </w:r>
      <w:r>
        <w:t xml:space="preserve">”</w:t>
      </w:r>
      <w:r>
        <w:t xml:space="preserve"> </w:t>
      </w:r>
      <w:r>
        <w:t xml:space="preserve">(No es una prueba única).</w:t>
      </w:r>
    </w:p>
    <w:p>
      <w:pPr>
        <w:pStyle w:val="BodyText"/>
      </w:pPr>
      <w:r>
        <w:t xml:space="preserve">Gráfico 7 De la producción de herramientas a la evidencia de cumplimiento</w:t>
      </w:r>
    </w:p>
    <w:bookmarkEnd w:id="79"/>
    <w:bookmarkStart w:id="81"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80"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80"/>
    <w:bookmarkEnd w:id="81"/>
    <w:bookmarkStart w:id="82"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2"/>
    <w:bookmarkStart w:id="84"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83"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83"/>
    <w:bookmarkEnd w:id="84"/>
    <w:bookmarkStart w:id="85"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5"/>
    <w:bookmarkStart w:id="87"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86"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86"/>
    <w:bookmarkEnd w:id="87"/>
    <w:bookmarkStart w:id="88"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8"/>
    <w:bookmarkStart w:id="90"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89"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89"/>
    <w:bookmarkEnd w:id="90"/>
    <w:bookmarkStart w:id="91"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1"/>
    <w:bookmarkStart w:id="93"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92"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92"/>
    <w:bookmarkEnd w:id="93"/>
    <w:bookmarkStart w:id="94"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4"/>
    <w:bookmarkStart w:id="96"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95"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95"/>
    <w:bookmarkEnd w:id="96"/>
    <w:bookmarkStart w:id="97"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7"/>
    <w:bookmarkStart w:id="99"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8"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98"/>
    <w:bookmarkEnd w:id="99"/>
    <w:bookmarkStart w:id="100"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0"/>
    <w:bookmarkStart w:id="102"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01"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01"/>
    <w:bookmarkEnd w:id="102"/>
    <w:bookmarkStart w:id="103"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04"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04"/>
    <w:bookmarkEnd w:id="105"/>
    <w:bookmarkStart w:id="107"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06"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06"/>
    <w:bookmarkEnd w:id="107"/>
    <w:bookmarkStart w:id="108"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8"/>
    <w:bookmarkStart w:id="110"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9"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09"/>
    <w:bookmarkEnd w:id="110"/>
    <w:bookmarkStart w:id="111"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1"/>
    <w:bookmarkStart w:id="112"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12"/>
    <w:bookmarkStart w:id="113"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13"/>
    <w:bookmarkEnd w:id="114"/>
    <w:bookmarkStart w:id="131"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15"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15"/>
    <w:bookmarkStart w:id="116"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16"/>
    <w:bookmarkStart w:id="117"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17"/>
    <w:bookmarkStart w:id="118"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18"/>
    <w:bookmarkStart w:id="119"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19"/>
    <w:bookmarkStart w:id="120"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20"/>
    <w:bookmarkStart w:id="121"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21"/>
    <w:bookmarkStart w:id="122"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22"/>
    <w:bookmarkStart w:id="123"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23"/>
    <w:bookmarkStart w:id="124"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24"/>
    <w:bookmarkStart w:id="125"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25"/>
    <w:bookmarkStart w:id="126"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26"/>
    <w:bookmarkStart w:id="127"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27"/>
    <w:bookmarkStart w:id="128"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28"/>
    <w:bookmarkStart w:id="129"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29"/>
    <w:bookmarkStart w:id="130"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30"/>
    <w:bookmarkEnd w:id="131"/>
    <w:bookmarkStart w:id="137"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32"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32"/>
    <w:bookmarkStart w:id="133"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33"/>
    <w:bookmarkStart w:id="134"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34"/>
    <w:bookmarkStart w:id="135"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35"/>
    <w:bookmarkStart w:id="136"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36"/>
    <w:bookmarkEnd w:id="137"/>
    <w:bookmarkStart w:id="138"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38"/>
    <w:bookmarkStart w:id="139"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39"/>
    <w:bookmarkStart w:id="149"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40">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41">
        <w:r>
          <w:rPr>
            <w:rStyle w:val="Hyperlink"/>
          </w:rPr>
          <w:t xml:space="preserve">Se indica</w:t>
        </w:r>
      </w:hyperlink>
    </w:p>
    <w:p>
      <w:pPr>
        <w:pStyle w:val="BodyText"/>
      </w:pPr>
      <w:r>
        <w:t xml:space="preserve">[ ]](https://www.open-scap.org/getting-started/)</w:t>
      </w:r>
    </w:p>
    <w:p>
      <w:pPr>
        <w:pStyle w:val="BodyText"/>
      </w:pPr>
      <w:hyperlink r:id="rId142">
        <w:r>
          <w:rPr>
            <w:rStyle w:val="Hyperlink"/>
          </w:rPr>
          <w:t xml:space="preserve">Se indica</w:t>
        </w:r>
      </w:hyperlink>
    </w:p>
    <w:p>
      <w:pPr>
        <w:pStyle w:val="BodyText"/>
      </w:pPr>
      <w:hyperlink r:id="rId143">
        <w:r>
          <w:rPr>
            <w:rStyle w:val="Hyperlink"/>
          </w:rPr>
          <w:t xml:space="preserve">Se indica</w:t>
        </w:r>
      </w:hyperlink>
    </w:p>
    <w:p>
      <w:pPr>
        <w:pStyle w:val="BodyText"/>
      </w:pPr>
      <w:hyperlink r:id="rId144">
        <w:r>
          <w:rPr>
            <w:rStyle w:val="Hyperlink"/>
          </w:rPr>
          <w:t xml:space="preserve">Se indica</w:t>
        </w:r>
      </w:hyperlink>
    </w:p>
    <w:p>
      <w:pPr>
        <w:pStyle w:val="BodyText"/>
      </w:pPr>
      <w:hyperlink r:id="rId145">
        <w:r>
          <w:rPr>
            <w:rStyle w:val="Hyperlink"/>
          </w:rPr>
          <w:t xml:space="preserve">Se indica</w:t>
        </w:r>
      </w:hyperlink>
    </w:p>
    <w:p>
      <w:pPr>
        <w:pStyle w:val="BodyText"/>
      </w:pPr>
      <w:hyperlink r:id="rId146">
        <w:r>
          <w:rPr>
            <w:rStyle w:val="Hyperlink"/>
          </w:rPr>
          <w:t xml:space="preserve">Se indica</w:t>
        </w:r>
      </w:hyperlink>
    </w:p>
    <w:p>
      <w:pPr>
        <w:pStyle w:val="BodyText"/>
      </w:pPr>
      <w:hyperlink r:id="rId147">
        <w:r>
          <w:rPr>
            <w:rStyle w:val="Hyperlink"/>
          </w:rPr>
          <w:t xml:space="preserve">Se indica</w:t>
        </w:r>
      </w:hyperlink>
    </w:p>
    <w:p>
      <w:pPr>
        <w:pStyle w:val="BodyText"/>
      </w:pPr>
      <w:hyperlink r:id="rId148">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2026-07-29T00:44:27Z</dcterms:created>
  <dcterms:modified xsi:type="dcterms:W3CDTF">2026-07-29T00:44:27Z</dcterms:modified>
</cp:coreProperties>
</file>

<file path=docProps/custom.xml><?xml version="1.0" encoding="utf-8"?>
<Properties xmlns="http://schemas.openxmlformats.org/officeDocument/2006/custom-properties" xmlns:vt="http://schemas.openxmlformats.org/officeDocument/2006/docPropsVTypes"/>
</file>