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sz w:val="44"/>
          <w:lang w:val="pt-BR"/>
        </w:rPr>
        <w:t>Manual 13 - Implementação Controlada SOX ITGC / ICFR</w:t>
      </w:r>
    </w:p>
    <w:p>
      <w:pPr>
        <w:jc w:val="center"/>
      </w:pPr>
      <w:r>
        <w:rPr>
          <w:rFonts w:ascii="Arial" w:hAnsi="Arial" w:eastAsia="Arial"/>
          <w:b/>
          <w:sz w:val="20"/>
          <w:lang w:val="pt-BR"/>
        </w:rPr>
        <w:t>CANDIDATO CONTROLADO PARA QA DE PUBLICACAO</w:t>
      </w:r>
    </w:p>
    <w:p>
      <w:pPr>
        <w:jc w:val="center"/>
      </w:pPr>
      <w:r>
        <w:rPr>
          <w:rFonts w:ascii="Arial" w:hAnsi="Arial" w:eastAsia="Arial"/>
          <w:sz w:val="17"/>
          <w:lang w:val="pt-BR"/>
        </w:rPr>
        <w:t>Revisão da fonte controlada: bd95c57ec7c4f55f6c2c8720afa1ad9df4c16679 | Idioma: pt-BR | limites de autoridade SOX/SEC/PCAOB mantidos.</w:t>
      </w:r>
    </w:p>
    <w:p>
      <w:r>
        <w:rPr>
          <w:rFonts w:ascii="Arial" w:hAnsi="Arial" w:eastAsia="Arial"/>
          <w:b/>
          <w:sz w:val="18"/>
          <w:lang w:val="pt-BR"/>
        </w:rPr>
        <w:t>Limite jurídico e de auditoria: Este manual oferece orientação prática para controles tecnológicos de ICFR. Não fornece aconselhamento jurídico específico, não determina materialidade, status do emissor, isenções, classificação de deficiências, escopo do auditor nem garante conformidade SOX. Fontes vigentes e julgamento humano competente permanecem controlantes.</w:t>
      </w:r>
    </w:p>
    <w:p>
      <w:pPr>
        <w:pStyle w:val="Heading1"/>
        <w:keepLines/>
        <w:keepNext/>
      </w:pPr>
      <w:r>
        <w:rPr>
          <w:rFonts w:ascii="Arial" w:hAnsi="Arial" w:eastAsia="Arial"/>
          <w:lang w:val="pt-BR"/>
        </w:rPr>
        <w:t>Caminhos de implementação</w:t>
      </w:r>
    </w:p>
    <w:p>
      <w:pPr>
        <w:pStyle w:val="Heading1"/>
        <w:keepLines/>
        <w:keepNext/>
      </w:pPr>
      <w:r>
        <w:rPr>
          <w:rFonts w:ascii="Arial" w:hAnsi="Arial" w:eastAsia="Arial"/>
          <w:b/>
          <w:sz w:val="36"/>
          <w:lang w:val="pt-BR"/>
        </w:rPr>
        <w:t>Manual 13 — Caminhos de implementação SOX ITGC / ICFR</w:t>
      </w:r>
    </w:p>
    <w:p>
      <w:pPr>
        <w:keepLines/>
      </w:pPr>
      <w:r>
        <w:rPr>
          <w:rFonts w:ascii="Arial" w:hAnsi="Arial" w:eastAsia="Arial"/>
          <w:lang w:val="pt-BR"/>
        </w:rPr>
        <w:t>Rascunho localizado assistido por máquina. A fonte inglesa controlada prevalece até revisão semântica humana competente.</w:t>
      </w:r>
    </w:p>
    <w:p>
      <w:pPr>
        <w:pStyle w:val="Heading2"/>
        <w:keepLines/>
        <w:keepNext/>
      </w:pPr>
      <w:r>
        <w:rPr>
          <w:rFonts w:ascii="Arial" w:hAnsi="Arial" w:eastAsia="Arial"/>
          <w:b/>
          <w:sz w:val="30"/>
          <w:lang w:val="pt-BR"/>
        </w:rPr>
        <w:t>Caminho Essencial</w:t>
      </w:r>
    </w:p>
    <w:p>
      <w:pPr>
        <w:keepLines/>
      </w:pPr>
      <w:r>
        <w:rPr>
          <w:rFonts w:ascii="Arial" w:hAnsi="Arial" w:eastAsia="Arial"/>
          <w:lang w:val="pt-BR"/>
        </w:rPr>
        <w:t>Defina escopo tecnológico de ICFR, sistemas e processos significativos, responsáveis, ITGC básicos de acesso/mudanças/operações, evidência, testes da administração e remediação.</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5707075"/>
            <wp:docPr id="1" name="Picture 1" title="Manual 03 memory graphic 1" descr="Memory graphic: Manual 03 memory graphic 1. Diagram contains 6 labeled nodes and 4 directed relationships."/>
            <wp:cNvGraphicFramePr>
              <a:graphicFrameLocks noChangeAspect="1"/>
            </wp:cNvGraphicFramePr>
            <a:graphic>
              <a:graphicData uri="http://schemas.openxmlformats.org/drawingml/2006/picture">
                <pic:pic>
                  <pic:nvPicPr>
                    <pic:cNvPr id="0" name="pt_BR_graphic_01.png"/>
                    <pic:cNvPicPr/>
                  </pic:nvPicPr>
                  <pic:blipFill>
                    <a:blip r:embed="rId10"/>
                    <a:stretch>
                      <a:fillRect/>
                    </a:stretch>
                  </pic:blipFill>
                  <pic:spPr>
                    <a:xfrm>
                      <a:off x="0" y="0"/>
                      <a:ext cx="5669280" cy="5707075"/>
                    </a:xfrm>
                    <a:prstGeom prst="rect"/>
                  </pic:spPr>
                </pic:pic>
              </a:graphicData>
            </a:graphic>
          </wp:inline>
        </w:drawing>
      </w:r>
    </w:p>
    <w:p>
      <w:pPr>
        <w:pStyle w:val="Caption"/>
        <w:jc w:val="center"/>
        <w:keepLines/>
        <w:keepNext/>
      </w:pPr>
      <w:r>
        <w:rPr>
          <w:rFonts w:ascii="Arial" w:hAnsi="Arial" w:eastAsia="Arial"/>
          <w:lang w:val="pt-BR"/>
        </w:rPr>
        <w:t>Figure 1. Implementation memory graphic</w:t>
      </w:r>
    </w:p>
    <w:p>
      <w:pPr>
        <w:keepLines/>
      </w:pPr>
      <w:r>
        <w:rPr>
          <w:rFonts w:ascii="Arial" w:hAnsi="Arial" w:eastAsia="Arial"/>
          <w:lang w:val="pt-BR"/>
        </w:rPr>
        <w:t>Explicação acessível: Comece pelos riscos financeiros, identifique a tecnologia de suporte, opere ITGC, retenha evidência, teste controles e remedie falhas.</w:t>
      </w:r>
    </w:p>
    <w:p>
      <w:pPr>
        <w:pStyle w:val="Heading2"/>
        <w:keepLines/>
        <w:keepNext/>
      </w:pPr>
      <w:r>
        <w:rPr>
          <w:rFonts w:ascii="Arial" w:hAnsi="Arial" w:eastAsia="Arial"/>
          <w:b/>
          <w:sz w:val="30"/>
          <w:lang w:val="pt-BR"/>
        </w:rPr>
        <w:t>Caminho Estruturado</w:t>
      </w:r>
    </w:p>
    <w:p>
      <w:pPr>
        <w:keepLines/>
      </w:pPr>
      <w:r>
        <w:rPr>
          <w:rFonts w:ascii="Arial" w:hAnsi="Arial" w:eastAsia="Arial"/>
          <w:lang w:val="pt-BR"/>
        </w:rPr>
        <w:t>Adicione ligação a asserções, controles de completude de população, procedimentos padronizados, validação de IPE, governança de organizações de serviço e suporte formal às certificações.</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5707075"/>
            <wp:docPr id="2" name="Picture 2" title="Manual 03 memory graphic 2" descr="Memory graphic: Manual 03 memory graphic 2. Diagram contains 6 labeled nodes and 4 directed relationships."/>
            <wp:cNvGraphicFramePr>
              <a:graphicFrameLocks noChangeAspect="1"/>
            </wp:cNvGraphicFramePr>
            <a:graphic>
              <a:graphicData uri="http://schemas.openxmlformats.org/drawingml/2006/picture">
                <pic:pic>
                  <pic:nvPicPr>
                    <pic:cNvPr id="0" name="pt_BR_graphic_02.png"/>
                    <pic:cNvPicPr/>
                  </pic:nvPicPr>
                  <pic:blipFill>
                    <a:blip r:embed="rId11"/>
                    <a:stretch>
                      <a:fillRect/>
                    </a:stretch>
                  </pic:blipFill>
                  <pic:spPr>
                    <a:xfrm>
                      <a:off x="0" y="0"/>
                      <a:ext cx="5669280" cy="5707075"/>
                    </a:xfrm>
                    <a:prstGeom prst="rect"/>
                  </pic:spPr>
                </pic:pic>
              </a:graphicData>
            </a:graphic>
          </wp:inline>
        </w:drawing>
      </w:r>
    </w:p>
    <w:p>
      <w:pPr>
        <w:pStyle w:val="Caption"/>
        <w:jc w:val="center"/>
        <w:keepLines/>
        <w:keepNext/>
      </w:pPr>
      <w:r>
        <w:rPr>
          <w:rFonts w:ascii="Arial" w:hAnsi="Arial" w:eastAsia="Arial"/>
          <w:lang w:val="pt-BR"/>
        </w:rPr>
        <w:t>Figure 2. Implementation memory graphic</w:t>
      </w:r>
    </w:p>
    <w:p>
      <w:pPr>
        <w:keepLines/>
      </w:pPr>
      <w:r>
        <w:rPr>
          <w:rFonts w:ascii="Arial" w:hAnsi="Arial" w:eastAsia="Arial"/>
          <w:lang w:val="pt-BR"/>
        </w:rPr>
        <w:t>Explicação acessível: O caminho estruturado conecta escopo e asserções a controles, valida populações/evidência, administra exceções e alimenta a certificação.</w:t>
      </w:r>
    </w:p>
    <w:p>
      <w:pPr>
        <w:pStyle w:val="Heading2"/>
        <w:keepLines/>
        <w:keepNext/>
      </w:pPr>
      <w:r>
        <w:rPr>
          <w:rFonts w:ascii="Arial" w:hAnsi="Arial" w:eastAsia="Arial"/>
          <w:b/>
          <w:sz w:val="30"/>
          <w:lang w:val="pt-BR"/>
        </w:rPr>
        <w:t>Caminho Aprimorado</w:t>
      </w:r>
    </w:p>
    <w:p>
      <w:pPr>
        <w:keepLines/>
      </w:pPr>
      <w:r>
        <w:rPr>
          <w:rFonts w:ascii="Arial" w:hAnsi="Arial" w:eastAsia="Arial"/>
          <w:lang w:val="pt-BR"/>
        </w:rPr>
        <w:t>Incorpore monitoramento contínuo, proveniência automatizada de evidência, analítica de configuração/identidade, detecção de mudanças, integração cloud/SaaS e governança de IA/automação financeiramente relevante.</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4894478"/>
            <wp:docPr id="3" name="Picture 3" title="Manual 03 memory graphic 3" descr="Memory graphic: Manual 03 memory graphic 3. Diagram contains 5 labeled nodes and 4 directed relationships."/>
            <wp:cNvGraphicFramePr>
              <a:graphicFrameLocks noChangeAspect="1"/>
            </wp:cNvGraphicFramePr>
            <a:graphic>
              <a:graphicData uri="http://schemas.openxmlformats.org/drawingml/2006/picture">
                <pic:pic>
                  <pic:nvPicPr>
                    <pic:cNvPr id="0" name="pt_BR_graphic_03.png"/>
                    <pic:cNvPicPr/>
                  </pic:nvPicPr>
                  <pic:blipFill>
                    <a:blip r:embed="rId12"/>
                    <a:stretch>
                      <a:fillRect/>
                    </a:stretch>
                  </pic:blipFill>
                  <pic:spPr>
                    <a:xfrm>
                      <a:off x="0" y="0"/>
                      <a:ext cx="5669280" cy="4894478"/>
                    </a:xfrm>
                    <a:prstGeom prst="rect"/>
                  </pic:spPr>
                </pic:pic>
              </a:graphicData>
            </a:graphic>
          </wp:inline>
        </w:drawing>
      </w:r>
    </w:p>
    <w:p>
      <w:pPr>
        <w:pStyle w:val="Caption"/>
        <w:jc w:val="center"/>
        <w:keepLines/>
        <w:keepNext/>
      </w:pPr>
      <w:r>
        <w:rPr>
          <w:rFonts w:ascii="Arial" w:hAnsi="Arial" w:eastAsia="Arial"/>
          <w:lang w:val="pt-BR"/>
        </w:rPr>
        <w:t>Figure 3. Implementation memory graphic</w:t>
      </w:r>
    </w:p>
    <w:p>
      <w:pPr>
        <w:keepLines/>
      </w:pPr>
      <w:r>
        <w:rPr>
          <w:rFonts w:ascii="Arial" w:hAnsi="Arial" w:eastAsia="Arial"/>
          <w:lang w:val="pt-BR"/>
        </w:rPr>
        <w:t>Explicação acessível: O modelo aprimorado usa sinais contínuos para detectar exceções, acionar reavaliação, remediar e retestar.</w:t>
      </w:r>
    </w:p>
    <w:p>
      <w:pPr>
        <w:sectPr>
          <w:footerReference w:type="default" r:id="rId9"/>
          <w:pgSz w:w="12240" w:h="15840"/>
          <w:pgMar w:top="936" w:right="1008" w:bottom="936" w:left="1008" w:header="720" w:footer="720" w:gutter="0"/>
          <w:cols w:space="720"/>
          <w:docGrid w:linePitch="360"/>
        </w:sectPr>
      </w:pPr>
    </w:p>
    <w:p>
      <w:pPr>
        <w:pStyle w:val="Heading1"/>
        <w:keepLines/>
        <w:keepNext/>
      </w:pPr>
      <w:r>
        <w:rPr>
          <w:rFonts w:ascii="Arial" w:hAnsi="Arial" w:eastAsia="Arial"/>
          <w:lang w:val="pt-BR"/>
        </w:rPr>
        <w:t>Manual controlado de 32 capítulos</w:t>
      </w:r>
    </w:p>
    <w:p>
      <w:pPr>
        <w:pStyle w:val="Heading2"/>
        <w:keepLines/>
        <w:keepNext/>
      </w:pPr>
      <w:r>
        <w:rPr>
          <w:rFonts w:ascii="Arial" w:hAnsi="Arial" w:eastAsia="Arial"/>
          <w:b/>
          <w:sz w:val="30"/>
          <w:lang w:val="pt-BR"/>
        </w:rPr>
        <w:t>Capítulo 1 — Finalidade e limite operacional</w:t>
      </w:r>
    </w:p>
    <w:p>
      <w:pPr>
        <w:keepLines/>
      </w:pPr>
      <w:r>
        <w:rPr>
          <w:rFonts w:ascii="Arial" w:hAnsi="Arial" w:eastAsia="Arial"/>
          <w:lang w:val="pt-BR"/>
        </w:rPr>
        <w:t>Este manual converte obrigações tecnológicas relacionadas a SOX/ICFR em um modelo prático de governança, controle e evidência. Distingue lei e regras da SEC, requisitos de auditoria do PCAOB, orientação regulatória e estruturas opcionais. Não substitui aconselhamento jurídico nem julgamento profissional sobre materialidade, aplicabilidade ou escopo de auditoria.</w:t>
      </w:r>
    </w:p>
    <w:p>
      <w:pPr>
        <w:pStyle w:val="Heading2"/>
        <w:keepLines/>
        <w:keepNext/>
      </w:pPr>
      <w:r>
        <w:rPr>
          <w:rFonts w:ascii="Arial" w:hAnsi="Arial" w:eastAsia="Arial"/>
          <w:b/>
          <w:sz w:val="30"/>
          <w:lang w:val="pt-BR"/>
        </w:rPr>
        <w:t>Capítulo 2 — Contexto das Seções 302 e 404</w:t>
      </w:r>
    </w:p>
    <w:p>
      <w:pPr>
        <w:keepLines/>
      </w:pPr>
      <w:r>
        <w:rPr>
          <w:rFonts w:ascii="Arial" w:hAnsi="Arial" w:eastAsia="Arial"/>
          <w:lang w:val="pt-BR"/>
        </w:rPr>
        <w:t>As certificações executivas da Seção 302 e a avaliação de ICFR da Seção 404 exigem responsabilidades relacionadas, porém distintas. Deve existir um mapa de responsabilidades conectando certificação, controles, sistemas, relatórios e escalonamento.</w:t>
      </w:r>
    </w:p>
    <w:p>
      <w:pPr>
        <w:pStyle w:val="Heading2"/>
        <w:keepLines/>
        <w:keepNext/>
      </w:pPr>
      <w:r>
        <w:rPr>
          <w:rFonts w:ascii="Arial" w:hAnsi="Arial" w:eastAsia="Arial"/>
          <w:b/>
          <w:sz w:val="30"/>
          <w:lang w:val="pt-BR"/>
        </w:rPr>
        <w:t>Capítulo 3 — Administração versus auditor externo</w:t>
      </w:r>
    </w:p>
    <w:p>
      <w:pPr>
        <w:keepLines/>
      </w:pPr>
      <w:r>
        <w:rPr>
          <w:rFonts w:ascii="Arial" w:hAnsi="Arial" w:eastAsia="Arial"/>
          <w:lang w:val="pt-BR"/>
        </w:rPr>
        <w:t>A administração projeta, opera, avalia e documenta ICFR. O auditor externo realiza avaliação independente quando aplicável. Testes da administração devem permanecer separados dos procedimentos do auditor.</w:t>
      </w:r>
    </w:p>
    <w:p>
      <w:pPr>
        <w:pStyle w:val="Heading2"/>
        <w:keepLines/>
        <w:keepNext/>
      </w:pPr>
      <w:r>
        <w:rPr>
          <w:rFonts w:ascii="Arial" w:hAnsi="Arial" w:eastAsia="Arial"/>
          <w:b/>
          <w:sz w:val="30"/>
          <w:lang w:val="pt-BR"/>
        </w:rPr>
        <w:t>Capítulo 4 — Escopo e aplicabilidade</w:t>
      </w:r>
    </w:p>
    <w:p>
      <w:pPr>
        <w:keepLines/>
      </w:pPr>
      <w:r>
        <w:rPr>
          <w:rFonts w:ascii="Arial" w:hAnsi="Arial" w:eastAsia="Arial"/>
          <w:lang w:val="pt-BR"/>
        </w:rPr>
        <w:t>Defina entidade, contas e divulgações relevantes, processos significativos, aplicações financeiras, interfaces, infraestrutura, prestadores, relatórios e planilhas. Documente por que cada componente está dentro ou fora do escopo.</w:t>
      </w:r>
    </w:p>
    <w:p>
      <w:pPr>
        <w:pStyle w:val="Heading2"/>
        <w:keepLines/>
        <w:keepNext/>
      </w:pPr>
      <w:r>
        <w:rPr>
          <w:rFonts w:ascii="Arial" w:hAnsi="Arial" w:eastAsia="Arial"/>
          <w:b/>
          <w:sz w:val="30"/>
          <w:lang w:val="pt-BR"/>
        </w:rPr>
        <w:t>Capítulo 5 — Risco de reporte financeiro e asserções</w:t>
      </w:r>
    </w:p>
    <w:p>
      <w:pPr>
        <w:keepLines/>
      </w:pPr>
      <w:r>
        <w:rPr>
          <w:rFonts w:ascii="Arial" w:hAnsi="Arial" w:eastAsia="Arial"/>
          <w:lang w:val="pt-BR"/>
        </w:rPr>
        <w:t>Vincule riscos de processo a asserções, contas/divulgações, controles automatizados, relatórios, interfaces e dependências de TI. Cada ITGC deve explicar como sua falha pode afetar um objetivo de reporte financeiro.</w:t>
      </w:r>
    </w:p>
    <w:p>
      <w:pPr>
        <w:pStyle w:val="Heading2"/>
        <w:keepLines/>
        <w:keepNext/>
      </w:pPr>
      <w:r>
        <w:rPr>
          <w:rFonts w:ascii="Arial" w:hAnsi="Arial" w:eastAsia="Arial"/>
          <w:b/>
          <w:sz w:val="30"/>
          <w:lang w:val="pt-BR"/>
        </w:rPr>
        <w:t>Capítulo 6 — Governança e responsabilização</w:t>
      </w:r>
    </w:p>
    <w:p>
      <w:pPr>
        <w:keepLines/>
      </w:pPr>
      <w:r>
        <w:rPr>
          <w:rFonts w:ascii="Arial" w:hAnsi="Arial" w:eastAsia="Arial"/>
          <w:lang w:val="pt-BR"/>
        </w:rPr>
        <w:t>Atribua responsáveis executivos, donos de processo e controle, donos de sistemas, custodiante de evidência, testadores, revisores e responsáveis por remediação. Defina escalonamento para falhas, exceções recorrentes e remediações vencidas.</w:t>
      </w:r>
    </w:p>
    <w:p>
      <w:pPr>
        <w:pStyle w:val="Heading2"/>
        <w:keepLines/>
        <w:keepNext/>
      </w:pPr>
      <w:r>
        <w:rPr>
          <w:rFonts w:ascii="Arial" w:hAnsi="Arial" w:eastAsia="Arial"/>
          <w:b/>
          <w:sz w:val="30"/>
          <w:lang w:val="pt-BR"/>
        </w:rPr>
        <w:t>Capítulo 7 — Controles tecnológicos em nível de entidade</w:t>
      </w:r>
    </w:p>
    <w:p>
      <w:pPr>
        <w:keepLines/>
      </w:pPr>
      <w:r>
        <w:rPr>
          <w:rFonts w:ascii="Arial" w:hAnsi="Arial" w:eastAsia="Arial"/>
          <w:lang w:val="pt-BR"/>
        </w:rPr>
        <w:t>Controles em nível de entidade incluem governança de acesso, mudanças, operações, segurança, riscos, monitoramento e supervisão de sistemas financeiros. Políticas gerais isoladas não comprovam eficácia operacional.</w:t>
      </w:r>
    </w:p>
    <w:p>
      <w:pPr>
        <w:pStyle w:val="Heading2"/>
        <w:keepLines/>
        <w:keepNext/>
      </w:pPr>
      <w:r>
        <w:rPr>
          <w:rFonts w:ascii="Arial" w:hAnsi="Arial" w:eastAsia="Arial"/>
          <w:b/>
          <w:sz w:val="30"/>
          <w:lang w:val="pt-BR"/>
        </w:rPr>
        <w:t>Capítulo 8 — Domínios ITGC e relevância para ICFR</w:t>
      </w:r>
    </w:p>
    <w:p>
      <w:pPr>
        <w:keepLines/>
      </w:pPr>
      <w:r>
        <w:rPr>
          <w:rFonts w:ascii="Arial" w:hAnsi="Arial" w:eastAsia="Arial"/>
          <w:lang w:val="pt-BR"/>
        </w:rPr>
        <w:t>Organize ITGC em acesso a programas e dados, mudanças, desenvolvimento/aquisição e operações, complementados por interfaces, IPE/relatórios e dependências modernas quando necessário. Evite ampliar SOX para controles de cibersegurança sem vínculo financeiro.</w:t>
      </w:r>
    </w:p>
    <w:p>
      <w:pPr>
        <w:pStyle w:val="Heading2"/>
        <w:keepLines/>
        <w:keepNext/>
      </w:pPr>
      <w:r>
        <w:rPr>
          <w:rFonts w:ascii="Arial" w:hAnsi="Arial" w:eastAsia="Arial"/>
          <w:b/>
          <w:sz w:val="30"/>
          <w:lang w:val="pt-BR"/>
        </w:rPr>
        <w:t>Capítulo 9 — Governança de acesso lógico</w:t>
      </w:r>
    </w:p>
    <w:p>
      <w:pPr>
        <w:keepLines/>
      </w:pPr>
      <w:r>
        <w:rPr>
          <w:rFonts w:ascii="Arial" w:hAnsi="Arial" w:eastAsia="Arial"/>
          <w:lang w:val="pt-BR"/>
        </w:rPr>
        <w:t>Defina admissão, movimentação, desligamento, acesso privilegiado, contas de serviço, acesso emergencial e revisões periódicas para sistemas financeiramente relevantes. A evidência deve mostrar solicitação, aprovação, implementação, remoção tempestiva, revisão, exceções e remediação.</w:t>
      </w:r>
    </w:p>
    <w:p>
      <w:pPr>
        <w:pStyle w:val="Heading2"/>
        <w:keepLines/>
        <w:keepNext/>
      </w:pPr>
      <w:r>
        <w:rPr>
          <w:rFonts w:ascii="Arial" w:hAnsi="Arial" w:eastAsia="Arial"/>
          <w:b/>
          <w:sz w:val="30"/>
          <w:lang w:val="pt-BR"/>
        </w:rPr>
        <w:t>Capítulo 10 — Segregação de funções e acesso privilegiado</w:t>
      </w:r>
    </w:p>
    <w:p>
      <w:pPr>
        <w:keepLines/>
      </w:pPr>
      <w:r>
        <w:rPr>
          <w:rFonts w:ascii="Arial" w:hAnsi="Arial" w:eastAsia="Arial"/>
          <w:lang w:val="pt-BR"/>
        </w:rPr>
        <w:t>Identifique combinações incompatíveis que permitam transações, mudanças, lançamentos, alterações em dados mestres ou ocultação de erros. Quando a segregação técnica não for viável, documente e teste controles compensatórios.</w:t>
      </w:r>
    </w:p>
    <w:p>
      <w:pPr>
        <w:pStyle w:val="Heading2"/>
        <w:keepLines/>
        <w:keepNext/>
      </w:pPr>
      <w:r>
        <w:rPr>
          <w:rFonts w:ascii="Arial" w:hAnsi="Arial" w:eastAsia="Arial"/>
          <w:b/>
          <w:sz w:val="30"/>
          <w:lang w:val="pt-BR"/>
        </w:rPr>
        <w:t>Capítulo 11 — Gestão de mudanças</w:t>
      </w:r>
    </w:p>
    <w:p>
      <w:pPr>
        <w:keepLines/>
      </w:pPr>
      <w:r>
        <w:rPr>
          <w:rFonts w:ascii="Arial" w:hAnsi="Arial" w:eastAsia="Arial"/>
          <w:lang w:val="pt-BR"/>
        </w:rPr>
        <w:t>Exija solicitação autorizada, avaliação de impacto, testes, aprovação, migração controlada, restrição de acesso à produção e evidência posterior. Diferencie mudanças rotineiras, padrão, emergenciais, configuração, código, infraestrutura como código e mudanças SaaS.</w:t>
      </w:r>
    </w:p>
    <w:p>
      <w:pPr>
        <w:pStyle w:val="Heading2"/>
        <w:keepLines/>
        <w:keepNext/>
      </w:pPr>
      <w:r>
        <w:rPr>
          <w:rFonts w:ascii="Arial" w:hAnsi="Arial" w:eastAsia="Arial"/>
          <w:b/>
          <w:sz w:val="30"/>
          <w:lang w:val="pt-BR"/>
        </w:rPr>
        <w:t>Capítulo 12 — Desenvolvimento, aquisição e implementação</w:t>
      </w:r>
    </w:p>
    <w:p>
      <w:pPr>
        <w:keepLines/>
      </w:pPr>
      <w:r>
        <w:rPr>
          <w:rFonts w:ascii="Arial" w:hAnsi="Arial" w:eastAsia="Arial"/>
          <w:lang w:val="pt-BR"/>
        </w:rPr>
        <w:t>Para novos sistemas ou implementações relevantes, documente requisitos, desenho de controles, conversão de dados, validação de interfaces, UAT, acesso, segregação, corte, rollback e monitoramento pós-implantação.</w:t>
      </w:r>
    </w:p>
    <w:p>
      <w:pPr>
        <w:pStyle w:val="Heading2"/>
        <w:keepLines/>
        <w:keepNext/>
      </w:pPr>
      <w:r>
        <w:rPr>
          <w:rFonts w:ascii="Arial" w:hAnsi="Arial" w:eastAsia="Arial"/>
          <w:b/>
          <w:sz w:val="30"/>
          <w:lang w:val="pt-BR"/>
        </w:rPr>
        <w:t>Capítulo 13 — Operações de TI</w:t>
      </w:r>
    </w:p>
    <w:p>
      <w:pPr>
        <w:keepLines/>
      </w:pPr>
      <w:r>
        <w:rPr>
          <w:rFonts w:ascii="Arial" w:hAnsi="Arial" w:eastAsia="Arial"/>
          <w:lang w:val="pt-BR"/>
        </w:rPr>
        <w:t>Controle jobs, processamento em lote, interfaces, backups, recuperação, monitoramento, falhas, reprocessamentos, incidentes e mudanças operacionais. A evidência deve demonstrar detecção e resolução de exceções.</w:t>
      </w:r>
    </w:p>
    <w:p>
      <w:pPr>
        <w:pStyle w:val="Heading2"/>
        <w:keepLines/>
        <w:keepNext/>
      </w:pPr>
      <w:r>
        <w:rPr>
          <w:rFonts w:ascii="Arial" w:hAnsi="Arial" w:eastAsia="Arial"/>
          <w:b/>
          <w:sz w:val="30"/>
          <w:lang w:val="pt-BR"/>
        </w:rPr>
        <w:t>Capítulo 14 — Interfaces e transferências de dados</w:t>
      </w:r>
    </w:p>
    <w:p>
      <w:pPr>
        <w:keepLines/>
      </w:pPr>
      <w:r>
        <w:rPr>
          <w:rFonts w:ascii="Arial" w:hAnsi="Arial" w:eastAsia="Arial"/>
          <w:lang w:val="pt-BR"/>
        </w:rPr>
        <w:t>Mantenha inventário de interfaces financeiramente significativas e controles de completude, exatidão, autorização, reconciliação, tratamento de erros, rejeições e duplicidades.</w:t>
      </w:r>
    </w:p>
    <w:p>
      <w:pPr>
        <w:pStyle w:val="Heading2"/>
        <w:keepLines/>
        <w:keepNext/>
      </w:pPr>
      <w:r>
        <w:rPr>
          <w:rFonts w:ascii="Arial" w:hAnsi="Arial" w:eastAsia="Arial"/>
          <w:b/>
          <w:sz w:val="30"/>
          <w:lang w:val="pt-BR"/>
        </w:rPr>
        <w:t>Capítulo 15 — Relatórios e informações produzidas pela entidade (IPE)</w:t>
      </w:r>
    </w:p>
    <w:p>
      <w:pPr>
        <w:keepLines/>
      </w:pPr>
      <w:r>
        <w:rPr>
          <w:rFonts w:ascii="Arial" w:hAnsi="Arial" w:eastAsia="Arial"/>
          <w:lang w:val="pt-BR"/>
        </w:rPr>
        <w:t>Valide fonte de dados, parâmetros, lógica, acesso, histórico de mudanças e completude/exatidão de relatórios, consultas, extrações, painéis e cálculos usados em controles ou reporte financeiro.</w:t>
      </w:r>
    </w:p>
    <w:p>
      <w:pPr>
        <w:pStyle w:val="Heading2"/>
        <w:keepLines/>
        <w:keepNext/>
      </w:pPr>
      <w:r>
        <w:rPr>
          <w:rFonts w:ascii="Arial" w:hAnsi="Arial" w:eastAsia="Arial"/>
          <w:b/>
          <w:sz w:val="30"/>
          <w:lang w:val="pt-BR"/>
        </w:rPr>
        <w:t>Capítulo 16 — Planilhas e computação de usuário final</w:t>
      </w:r>
    </w:p>
    <w:p>
      <w:pPr>
        <w:keepLines/>
      </w:pPr>
      <w:r>
        <w:rPr>
          <w:rFonts w:ascii="Arial" w:hAnsi="Arial" w:eastAsia="Arial"/>
          <w:lang w:val="pt-BR"/>
        </w:rPr>
        <w:t>Classifique planilhas e ferramentas EUC por risco. Aplique propriedade, acesso, versionamento/mudanças, proteção ou revisão de fórmulas, validação de entradas, reconciliação, backup e revisão independente.</w:t>
      </w:r>
    </w:p>
    <w:p>
      <w:pPr>
        <w:pStyle w:val="Heading2"/>
        <w:keepLines/>
        <w:keepNext/>
      </w:pPr>
      <w:r>
        <w:rPr>
          <w:rFonts w:ascii="Arial" w:hAnsi="Arial" w:eastAsia="Arial"/>
          <w:b/>
          <w:sz w:val="30"/>
          <w:lang w:val="pt-BR"/>
        </w:rPr>
        <w:t>Capítulo 17 — Eficácia do desenho</w:t>
      </w:r>
    </w:p>
    <w:p>
      <w:pPr>
        <w:keepLines/>
      </w:pPr>
      <w:r>
        <w:rPr>
          <w:rFonts w:ascii="Arial" w:hAnsi="Arial" w:eastAsia="Arial"/>
          <w:lang w:val="pt-BR"/>
        </w:rPr>
        <w:t>Avalie se cada controle, executado conforme projetado, preveniria ou detectaria oportunamente o risco de reporte financeiro. Documente objetivo, gatilho, população, executor, precisão, evidência, dependências e escalonamento.</w:t>
      </w:r>
    </w:p>
    <w:p>
      <w:pPr>
        <w:pStyle w:val="Heading2"/>
        <w:keepLines/>
        <w:keepNext/>
      </w:pPr>
      <w:r>
        <w:rPr>
          <w:rFonts w:ascii="Arial" w:hAnsi="Arial" w:eastAsia="Arial"/>
          <w:b/>
          <w:sz w:val="30"/>
          <w:lang w:val="pt-BR"/>
        </w:rPr>
        <w:t>Capítulo 18 — Eficácia operacional</w:t>
      </w:r>
    </w:p>
    <w:p>
      <w:pPr>
        <w:keepLines/>
      </w:pPr>
      <w:r>
        <w:rPr>
          <w:rFonts w:ascii="Arial" w:hAnsi="Arial" w:eastAsia="Arial"/>
          <w:lang w:val="pt-BR"/>
        </w:rPr>
        <w:t>Determine se o controle operou durante o período, por pessoal adequado, com evidência consistente e acompanhamento tempestivo. Defina população e período antes de selecionar amostras.</w:t>
      </w:r>
    </w:p>
    <w:p>
      <w:pPr>
        <w:pStyle w:val="Heading2"/>
        <w:keepLines/>
        <w:keepNext/>
      </w:pPr>
      <w:r>
        <w:rPr>
          <w:rFonts w:ascii="Arial" w:hAnsi="Arial" w:eastAsia="Arial"/>
          <w:b/>
          <w:sz w:val="30"/>
          <w:lang w:val="pt-BR"/>
        </w:rPr>
        <w:t>Capítulo 19 — Desenho e retenção de evidência</w:t>
      </w:r>
    </w:p>
    <w:p>
      <w:pPr>
        <w:keepLines/>
      </w:pPr>
      <w:r>
        <w:rPr>
          <w:rFonts w:ascii="Arial" w:hAnsi="Arial" w:eastAsia="Arial"/>
          <w:lang w:val="pt-BR"/>
        </w:rPr>
        <w:t>Especifique evidência esperada, sistema de origem, responsável, local de retenção, período, vínculo com a população e atributos de revisão. Prefira evidência gerada naturalmente pelo controle.</w:t>
      </w:r>
    </w:p>
    <w:p>
      <w:pPr>
        <w:pStyle w:val="Heading2"/>
        <w:keepLines/>
        <w:keepNext/>
      </w:pPr>
      <w:r>
        <w:rPr>
          <w:rFonts w:ascii="Arial" w:hAnsi="Arial" w:eastAsia="Arial"/>
          <w:b/>
          <w:sz w:val="30"/>
          <w:lang w:val="pt-BR"/>
        </w:rPr>
        <w:t>Capítulo 20 — Completude da população e preparação para amostragem</w:t>
      </w:r>
    </w:p>
    <w:p>
      <w:pPr>
        <w:keepLines/>
      </w:pPr>
      <w:r>
        <w:rPr>
          <w:rFonts w:ascii="Arial" w:hAnsi="Arial" w:eastAsia="Arial"/>
          <w:lang w:val="pt-BR"/>
        </w:rPr>
        <w:t>Documente como as populações são geradas, por que são completas, filtros, duplicidades, exclusões e registros ausentes. Tamanho de amostra requer julgamento profissional e não é universalmente prescrito.</w:t>
      </w:r>
    </w:p>
    <w:p>
      <w:pPr>
        <w:pStyle w:val="Heading2"/>
        <w:keepLines/>
        <w:keepNext/>
      </w:pPr>
      <w:r>
        <w:rPr>
          <w:rFonts w:ascii="Arial" w:hAnsi="Arial" w:eastAsia="Arial"/>
          <w:b/>
          <w:sz w:val="30"/>
          <w:lang w:val="pt-BR"/>
        </w:rPr>
        <w:t>Capítulo 21 — Organizações de serviço e terceiros</w:t>
      </w:r>
    </w:p>
    <w:p>
      <w:pPr>
        <w:keepLines/>
      </w:pPr>
      <w:r>
        <w:rPr>
          <w:rFonts w:ascii="Arial" w:hAnsi="Arial" w:eastAsia="Arial"/>
          <w:lang w:val="pt-BR"/>
        </w:rPr>
        <w:t>Mapeie serviços terceirizados que afetam ICFR, controles complementares da entidade usuária, subservice organizations, relatórios de controle, contratos, incidentes, mudanças e lacunas. Um relatório SOC não comprova automaticamente cobertura total.</w:t>
      </w:r>
    </w:p>
    <w:p>
      <w:pPr>
        <w:pStyle w:val="Heading2"/>
        <w:keepLines/>
        <w:keepNext/>
      </w:pPr>
      <w:r>
        <w:rPr>
          <w:rFonts w:ascii="Arial" w:hAnsi="Arial" w:eastAsia="Arial"/>
          <w:b/>
          <w:sz w:val="30"/>
          <w:lang w:val="pt-BR"/>
        </w:rPr>
        <w:t>Capítulo 22 — Nuvem e SaaS</w:t>
      </w:r>
    </w:p>
    <w:p>
      <w:pPr>
        <w:keepLines/>
      </w:pPr>
      <w:r>
        <w:rPr>
          <w:rFonts w:ascii="Arial" w:hAnsi="Arial" w:eastAsia="Arial"/>
          <w:lang w:val="pt-BR"/>
        </w:rPr>
        <w:t>Documente responsabilidades compartilhadas para serviços financeiramente relevantes: configuração, acesso privilegiado, federação de identidade, mudanças, logs, backup, interfaces e evidência disponível.</w:t>
      </w:r>
    </w:p>
    <w:p>
      <w:pPr>
        <w:pStyle w:val="Heading2"/>
        <w:keepLines/>
        <w:keepNext/>
      </w:pPr>
      <w:r>
        <w:rPr>
          <w:rFonts w:ascii="Arial" w:hAnsi="Arial" w:eastAsia="Arial"/>
          <w:b/>
          <w:sz w:val="30"/>
          <w:lang w:val="pt-BR"/>
        </w:rPr>
        <w:t>Capítulo 23 — IA e automação em processos financeiros</w:t>
      </w:r>
    </w:p>
    <w:p>
      <w:pPr>
        <w:keepLines/>
      </w:pPr>
      <w:r>
        <w:rPr>
          <w:rFonts w:ascii="Arial" w:hAnsi="Arial" w:eastAsia="Arial"/>
          <w:lang w:val="pt-BR"/>
        </w:rPr>
        <w:t>Quando IA, RPA ou automação influenciar cálculos, classificações, reconciliações, aprovações, relatórios ou evidência, documente finalidade, entradas, saídas, supervisão humana, mudanças, acesso, validação, monitoramento e contingência.</w:t>
      </w:r>
    </w:p>
    <w:p>
      <w:pPr>
        <w:pStyle w:val="Heading2"/>
        <w:keepLines/>
        <w:keepNext/>
      </w:pPr>
      <w:r>
        <w:rPr>
          <w:rFonts w:ascii="Arial" w:hAnsi="Arial" w:eastAsia="Arial"/>
          <w:b/>
          <w:sz w:val="30"/>
          <w:lang w:val="pt-BR"/>
        </w:rPr>
        <w:t>Capítulo 24 — Identificação e escalonamento de deficiências</w:t>
      </w:r>
    </w:p>
    <w:p>
      <w:pPr>
        <w:keepLines/>
      </w:pPr>
      <w:r>
        <w:rPr>
          <w:rFonts w:ascii="Arial" w:hAnsi="Arial" w:eastAsia="Arial"/>
          <w:lang w:val="pt-BR"/>
        </w:rPr>
        <w:t>Registre falhas de controle, lacunas de desenho, falhas de evidência, exceções recorrentes e dependências afetadas. Separe o achado factual da classificação jurídica ou de auditoria como deficiência significativa ou fraqueza material.</w:t>
      </w:r>
    </w:p>
    <w:p>
      <w:pPr>
        <w:pStyle w:val="Heading2"/>
        <w:keepLines/>
        <w:keepNext/>
      </w:pPr>
      <w:r>
        <w:rPr>
          <w:rFonts w:ascii="Arial" w:hAnsi="Arial" w:eastAsia="Arial"/>
          <w:b/>
          <w:sz w:val="30"/>
          <w:lang w:val="pt-BR"/>
        </w:rPr>
        <w:t>Capítulo 25 — Planejamento de remediação</w:t>
      </w:r>
    </w:p>
    <w:p>
      <w:pPr>
        <w:keepLines/>
      </w:pPr>
      <w:r>
        <w:rPr>
          <w:rFonts w:ascii="Arial" w:hAnsi="Arial" w:eastAsia="Arial"/>
          <w:lang w:val="pt-BR"/>
        </w:rPr>
        <w:t>Para cada achado identifique causa raiz, objetivo afetado, sistemas/processos, dono do risco, ação corretiva, data-alvo, controle interino, evidência e critérios de reteste.</w:t>
      </w:r>
    </w:p>
    <w:p>
      <w:pPr>
        <w:pStyle w:val="Heading2"/>
        <w:keepLines/>
        <w:keepNext/>
      </w:pPr>
      <w:r>
        <w:rPr>
          <w:rFonts w:ascii="Arial" w:hAnsi="Arial" w:eastAsia="Arial"/>
          <w:b/>
          <w:sz w:val="30"/>
          <w:lang w:val="pt-BR"/>
        </w:rPr>
        <w:t>Capítulo 26 — Reteste e encerramento</w:t>
      </w:r>
    </w:p>
    <w:p>
      <w:pPr>
        <w:keepLines/>
      </w:pPr>
      <w:r>
        <w:rPr>
          <w:rFonts w:ascii="Arial" w:hAnsi="Arial" w:eastAsia="Arial"/>
          <w:lang w:val="pt-BR"/>
        </w:rPr>
        <w:t>O reteste deve confirmar desenho e operação da remediação. Preserve achado original, evidência de correção, evidência de reteste, conclusão do revisor e aprovação de encerramento.</w:t>
      </w:r>
    </w:p>
    <w:p>
      <w:pPr>
        <w:pStyle w:val="Heading2"/>
        <w:keepLines/>
        <w:keepNext/>
      </w:pPr>
      <w:r>
        <w:rPr>
          <w:rFonts w:ascii="Arial" w:hAnsi="Arial" w:eastAsia="Arial"/>
          <w:b/>
          <w:sz w:val="30"/>
          <w:lang w:val="pt-BR"/>
        </w:rPr>
        <w:t>Capítulo 27 — Suporte às certificações da administração</w:t>
      </w:r>
    </w:p>
    <w:p>
      <w:pPr>
        <w:keepLines/>
      </w:pPr>
      <w:r>
        <w:rPr>
          <w:rFonts w:ascii="Arial" w:hAnsi="Arial" w:eastAsia="Arial"/>
          <w:lang w:val="pt-BR"/>
        </w:rPr>
        <w:t>Integre status de controles, mudanças significativas, deficiências, remediações, entradas do processo de divulgação e assuntos em aberto. Representações tecnológicas devem ser rastreáveis à evidência do período.</w:t>
      </w:r>
    </w:p>
    <w:p>
      <w:pPr>
        <w:pStyle w:val="Heading2"/>
        <w:keepLines/>
        <w:keepNext/>
      </w:pPr>
      <w:r>
        <w:rPr>
          <w:rFonts w:ascii="Arial" w:hAnsi="Arial" w:eastAsia="Arial"/>
          <w:b/>
          <w:sz w:val="30"/>
          <w:lang w:val="pt-BR"/>
        </w:rPr>
        <w:t>Capítulo 28 — Interação com auditor externo</w:t>
      </w:r>
    </w:p>
    <w:p>
      <w:pPr>
        <w:keepLines/>
      </w:pPr>
      <w:r>
        <w:rPr>
          <w:rFonts w:ascii="Arial" w:hAnsi="Arial" w:eastAsia="Arial"/>
          <w:lang w:val="pt-BR"/>
        </w:rPr>
        <w:t>Mantenha processo controlado de entrega de evidência com acompanhamento de solicitações, responsáveis, prazos, versões e escalonamento. Não altere evidência subjacente apenas para atender a uma solicitação.</w:t>
      </w:r>
    </w:p>
    <w:p>
      <w:pPr>
        <w:pStyle w:val="Heading2"/>
        <w:keepLines/>
        <w:keepNext/>
      </w:pPr>
      <w:r>
        <w:rPr>
          <w:rFonts w:ascii="Arial" w:hAnsi="Arial" w:eastAsia="Arial"/>
          <w:b/>
          <w:sz w:val="30"/>
          <w:lang w:val="pt-BR"/>
        </w:rPr>
        <w:t>Capítulo 29 — Monitoramento contínuo e reavaliação</w:t>
      </w:r>
    </w:p>
    <w:p>
      <w:pPr>
        <w:keepLines/>
      </w:pPr>
      <w:r>
        <w:rPr>
          <w:rFonts w:ascii="Arial" w:hAnsi="Arial" w:eastAsia="Arial"/>
          <w:lang w:val="pt-BR"/>
        </w:rPr>
        <w:t>Use métricas, recertificação de acessos, dados de incidentes, jobs com falha, exceções e aging de remediações para detectar deterioração. Monitoramento não substitui operação nem testes independentes.</w:t>
      </w:r>
    </w:p>
    <w:p>
      <w:pPr>
        <w:pStyle w:val="Heading2"/>
        <w:keepLines/>
        <w:keepNext/>
      </w:pPr>
      <w:r>
        <w:rPr>
          <w:rFonts w:ascii="Arial" w:hAnsi="Arial" w:eastAsia="Arial"/>
          <w:b/>
          <w:sz w:val="30"/>
          <w:lang w:val="pt-BR"/>
        </w:rPr>
        <w:t>Capítulo 30 — Caminhos Essencial, Estruturado e Aprimorado</w:t>
      </w:r>
    </w:p>
    <w:p>
      <w:pPr>
        <w:keepLines/>
      </w:pPr>
      <w:r>
        <w:rPr>
          <w:rFonts w:ascii="Arial" w:hAnsi="Arial" w:eastAsia="Arial"/>
          <w:lang w:val="pt-BR"/>
        </w:rPr>
        <w:t>Essencial: escopo defensável, ITGC básicos, responsáveis, evidência e gestão de deficiências. Estruturado: ligação risco-asserção, populações, testes padronizados, terceiros e remediação integrada. Aprimorado: monitoramento contínuo, proveniência automatizada de evidência, analítica de configuração e reavaliação acionada por mudanças.</w:t>
      </w:r>
    </w:p>
    <w:p>
      <w:pPr>
        <w:pStyle w:val="Heading2"/>
        <w:keepLines/>
        <w:keepNext/>
      </w:pPr>
      <w:r>
        <w:rPr>
          <w:rFonts w:ascii="Arial" w:hAnsi="Arial" w:eastAsia="Arial"/>
          <w:b/>
          <w:sz w:val="30"/>
          <w:lang w:val="pt-BR"/>
        </w:rPr>
        <w:t>Capítulo 31 — Falhas comuns e cenários</w:t>
      </w:r>
    </w:p>
    <w:p>
      <w:pPr>
        <w:keepLines/>
      </w:pPr>
      <w:r>
        <w:rPr>
          <w:rFonts w:ascii="Arial" w:hAnsi="Arial" w:eastAsia="Arial"/>
          <w:lang w:val="pt-BR"/>
        </w:rPr>
        <w:t>Falhas comuns incluem excesso de escopo de cibersegurança, capturas sem evidência populacional, confiança automática em relatórios SOC, validação fraca de IPE, acesso privilegiado não resolvido, mudanças emergenciais sem revisão e encerramento de remediação sem reteste.</w:t>
      </w:r>
    </w:p>
    <w:p>
      <w:pPr>
        <w:pStyle w:val="Heading2"/>
        <w:keepLines/>
        <w:keepNext/>
      </w:pPr>
      <w:r>
        <w:rPr>
          <w:rFonts w:ascii="Arial" w:hAnsi="Arial" w:eastAsia="Arial"/>
          <w:b/>
          <w:sz w:val="30"/>
          <w:lang w:val="pt-BR"/>
        </w:rPr>
        <w:t>Capítulo 32 — Lista final de operação e publicação</w:t>
      </w:r>
    </w:p>
    <w:p>
      <w:pPr>
        <w:keepLines/>
      </w:pPr>
      <w:r>
        <w:rPr>
          <w:rFonts w:ascii="Arial" w:hAnsi="Arial" w:eastAsia="Arial"/>
          <w:lang w:val="pt-BR"/>
        </w:rPr>
        <w:t>Verifique status atual de fontes SOX/SEC/PCAOB, escopo, responsáveis, rastreabilidade, evidência, fidelidade de localização, acessibilidade, proveniência e histórico de mudanças. Para publicação, vincule hashes exatos, QA, revisões, manifesto, segurança de workflow e reconciliação de registro/catálogo.</w:t>
      </w:r>
    </w:p>
    <w:p>
      <w:pPr>
        <w:sectPr>
          <w:pgSz w:w="12240" w:h="15840"/>
          <w:pgMar w:top="936" w:right="1008" w:bottom="936" w:left="1008" w:header="720" w:footer="720" w:gutter="0"/>
          <w:cols w:space="720"/>
          <w:docGrid w:linePitch="360"/>
        </w:sectPr>
      </w:pPr>
    </w:p>
    <w:p>
      <w:pPr>
        <w:pStyle w:val="Heading1"/>
        <w:keepLines/>
        <w:keepNext/>
      </w:pPr>
      <w:r>
        <w:rPr>
          <w:rFonts w:ascii="Arial" w:hAnsi="Arial" w:eastAsia="Arial"/>
          <w:lang w:val="pt-BR"/>
        </w:rPr>
        <w:t>Apêndice de evidência e testes para praticantes</w:t>
      </w:r>
    </w:p>
    <w:p>
      <w:pPr>
        <w:pStyle w:val="Heading1"/>
        <w:keepLines/>
        <w:keepNext/>
      </w:pPr>
      <w:r>
        <w:rPr>
          <w:rFonts w:ascii="Arial" w:hAnsi="Arial" w:eastAsia="Arial"/>
          <w:b/>
          <w:sz w:val="36"/>
          <w:lang w:val="pt-BR"/>
        </w:rPr>
        <w:t>Apêndice de evidência e testes para praticantes — Manual 13</w:t>
      </w:r>
    </w:p>
    <w:p>
      <w:pPr>
        <w:pStyle w:val="Heading2"/>
        <w:keepLines/>
        <w:keepNext/>
      </w:pPr>
      <w:r>
        <w:rPr>
          <w:rFonts w:ascii="Arial" w:hAnsi="Arial" w:eastAsia="Arial"/>
          <w:b/>
          <w:sz w:val="30"/>
          <w:lang w:val="pt-BR"/>
        </w:rPr>
        <w:t>A. Planilha controle-risco</w:t>
      </w:r>
    </w:p>
    <w:p>
      <w:pPr>
        <w:keepLines/>
      </w:pPr>
      <w:r>
        <w:rPr>
          <w:rFonts w:ascii="Arial" w:hAnsi="Arial" w:eastAsia="Arial"/>
          <w:lang w:val="pt-BR"/>
        </w:rPr>
        <w:t>Para cada controle tecnológico financeiramente relevante registre risco de reporte financeiro, processo/conta/divulgação, asserção ou objetivo afetado, sistema ou dado dependente, dono do controle, executor, frequência, fonte de evidência, local de retenção, dependências, caminho de exceção e gatilho de reavaliação. Um revisor deve conseguir entender por que o controle está no escopo de ICFR e como uma falha pode afetar o reporte financeiro.</w:t>
      </w:r>
    </w:p>
    <w:p>
      <w:pPr>
        <w:pStyle w:val="Heading2"/>
        <w:keepLines/>
        <w:keepNext/>
      </w:pPr>
      <w:r>
        <w:rPr>
          <w:rFonts w:ascii="Arial" w:hAnsi="Arial" w:eastAsia="Arial"/>
          <w:b/>
          <w:sz w:val="30"/>
          <w:lang w:val="pt-BR"/>
        </w:rPr>
        <w:t>B. Padrão de evidência de acesso</w:t>
      </w:r>
    </w:p>
    <w:p>
      <w:pPr>
        <w:keepLines/>
      </w:pPr>
      <w:r>
        <w:rPr>
          <w:rFonts w:ascii="Arial" w:hAnsi="Arial" w:eastAsia="Arial"/>
          <w:lang w:val="pt-BR"/>
        </w:rPr>
        <w:t>Para acessos de usuário preserve solicitação, aprovação, função ou privilégio concedido, data de implementação, administrador, registro do sistema, revisão periódica e remediação. Para acesso privilegiado inclua justificativa, limites, monitoramento e recertificação. Para desligamentos demonstre a população fonte e a tempestividade da remoção; capturas isoladas não comprovam completude.</w:t>
      </w:r>
    </w:p>
    <w:p>
      <w:pPr>
        <w:pStyle w:val="Heading2"/>
        <w:keepLines/>
        <w:keepNext/>
      </w:pPr>
      <w:r>
        <w:rPr>
          <w:rFonts w:ascii="Arial" w:hAnsi="Arial" w:eastAsia="Arial"/>
          <w:b/>
          <w:sz w:val="30"/>
          <w:lang w:val="pt-BR"/>
        </w:rPr>
        <w:t>C. Padrão de gestão de mudanças</w:t>
      </w:r>
    </w:p>
    <w:p>
      <w:pPr>
        <w:keepLines/>
      </w:pPr>
      <w:r>
        <w:rPr>
          <w:rFonts w:ascii="Arial" w:hAnsi="Arial" w:eastAsia="Arial"/>
          <w:lang w:val="pt-BR"/>
        </w:rPr>
        <w:t>Para mudanças financeiramente relevantes preserve solicitação aprovada, avaliação de impacto, descrição/requisitos, testes, segregação, aprovação de migração, registro de implantação e validação posterior. Mudanças emergenciais exigem justificativa documentada e revisão retrospectiva. Em SaaS e low-code, mudanças de configuração, fluxos, fórmulas, permissões e integrações podem ser tão relevantes quanto alterações de código.</w:t>
      </w:r>
    </w:p>
    <w:p>
      <w:pPr>
        <w:pStyle w:val="Heading2"/>
        <w:keepLines/>
        <w:keepNext/>
      </w:pPr>
      <w:r>
        <w:rPr>
          <w:rFonts w:ascii="Arial" w:hAnsi="Arial" w:eastAsia="Arial"/>
          <w:b/>
          <w:sz w:val="30"/>
          <w:lang w:val="pt-BR"/>
        </w:rPr>
        <w:t>D. Padrão de operações de TI</w:t>
      </w:r>
    </w:p>
    <w:p>
      <w:pPr>
        <w:keepLines/>
      </w:pPr>
      <w:r>
        <w:rPr>
          <w:rFonts w:ascii="Arial" w:hAnsi="Arial" w:eastAsia="Arial"/>
          <w:lang w:val="pt-BR"/>
        </w:rPr>
        <w:t>Para processamentos agendados identifique população esperada, monitoramento, critérios de falha, notificação, autoridade para reinício/reprocessamento, reconciliações e evidência de resolução. Um status de scheduler bem-sucedido pode ser insuficiente quando a completude financeira depende de contagens, totais de controle ou reconciliações posteriores.</w:t>
      </w:r>
    </w:p>
    <w:p>
      <w:pPr>
        <w:pStyle w:val="Heading2"/>
        <w:keepLines/>
        <w:keepNext/>
      </w:pPr>
      <w:r>
        <w:rPr>
          <w:rFonts w:ascii="Arial" w:hAnsi="Arial" w:eastAsia="Arial"/>
          <w:b/>
          <w:sz w:val="30"/>
          <w:lang w:val="pt-BR"/>
        </w:rPr>
        <w:t>E. Interfaces e reconciliações</w:t>
      </w:r>
    </w:p>
    <w:p>
      <w:pPr>
        <w:keepLines/>
      </w:pPr>
      <w:r>
        <w:rPr>
          <w:rFonts w:ascii="Arial" w:hAnsi="Arial" w:eastAsia="Arial"/>
          <w:lang w:val="pt-BR"/>
        </w:rPr>
        <w:t>Documente origem/destino, frequência, população, mecanismo de transferência, controles automatizados, tratamento de rejeições, duplicidades, reconciliação, limites e responsáveis. Quando a reconciliação for manual, defina a precisão do revisor e o escalonamento; se automatizada, documente configuração/código, entradas, tratamento de erros e monitoramento.</w:t>
      </w:r>
    </w:p>
    <w:p>
      <w:pPr>
        <w:pStyle w:val="Heading2"/>
        <w:keepLines/>
        <w:keepNext/>
      </w:pPr>
      <w:r>
        <w:rPr>
          <w:rFonts w:ascii="Arial" w:hAnsi="Arial" w:eastAsia="Arial"/>
          <w:b/>
          <w:sz w:val="30"/>
          <w:lang w:val="pt-BR"/>
        </w:rPr>
        <w:t>F. IPE e relatórios</w:t>
      </w:r>
    </w:p>
    <w:p>
      <w:pPr>
        <w:keepLines/>
      </w:pPr>
      <w:r>
        <w:rPr>
          <w:rFonts w:ascii="Arial" w:hAnsi="Arial" w:eastAsia="Arial"/>
          <w:lang w:val="pt-BR"/>
        </w:rPr>
        <w:t>Quando um controle depende de relatório, consulta, extração ou painel, documente nome, sistema, dono, parâmetros, período, filtros, fonte de dados, lógica e acesso. Para consultas ad hoc preserve script/consulta exata. Para planilhas registre fontes, fórmulas/macros, versão, acesso, revisão e reconciliação. Uma captura de tela não substitui evidência reproduzível da população.</w:t>
      </w:r>
    </w:p>
    <w:p>
      <w:pPr>
        <w:pStyle w:val="Heading2"/>
        <w:keepLines/>
        <w:keepNext/>
      </w:pPr>
      <w:r>
        <w:rPr>
          <w:rFonts w:ascii="Arial" w:hAnsi="Arial" w:eastAsia="Arial"/>
          <w:b/>
          <w:sz w:val="30"/>
          <w:lang w:val="pt-BR"/>
        </w:rPr>
        <w:t>G. Organizações de serviço</w:t>
      </w:r>
    </w:p>
    <w:p>
      <w:pPr>
        <w:keepLines/>
      </w:pPr>
      <w:r>
        <w:rPr>
          <w:rFonts w:ascii="Arial" w:hAnsi="Arial" w:eastAsia="Arial"/>
          <w:lang w:val="pt-BR"/>
        </w:rPr>
        <w:t>Para cada prestador que afete ICFR documente serviço, processos/sistemas, relatório ou evidência revisada, período, controles complementares da entidade usuária, subservice organizations, exceções, período-ponte, incidentes e conclusão da administração. Receber um relatório SOC não significa confiar automaticamente em todos os controles relevantes.</w:t>
      </w:r>
    </w:p>
    <w:p>
      <w:pPr>
        <w:pStyle w:val="Heading2"/>
        <w:keepLines/>
        <w:keepNext/>
      </w:pPr>
      <w:r>
        <w:rPr>
          <w:rFonts w:ascii="Arial" w:hAnsi="Arial" w:eastAsia="Arial"/>
          <w:b/>
          <w:sz w:val="30"/>
          <w:lang w:val="pt-BR"/>
        </w:rPr>
        <w:t>H. Mínimos do papel de trabalho de testes</w:t>
      </w:r>
    </w:p>
    <w:p>
      <w:pPr>
        <w:keepLines/>
      </w:pPr>
      <w:r>
        <w:rPr>
          <w:rFonts w:ascii="Arial" w:hAnsi="Arial" w:eastAsia="Arial"/>
          <w:lang w:val="pt-BR"/>
        </w:rPr>
        <w:t>Inclua ID do controle, objetivo, risco, descrição, dono, frequência, fonte da população, período, método, fundamento da amostra quando aplicável, itens testados, evidência, exceções, conclusão, revisor, data e acompanhamento. Separe desenho de eficácia operacional e assegure que outro revisor competente possa reproduzir a lógica da conclusão.</w:t>
      </w:r>
    </w:p>
    <w:p>
      <w:pPr>
        <w:pStyle w:val="Heading2"/>
        <w:keepLines/>
        <w:keepNext/>
      </w:pPr>
      <w:r>
        <w:rPr>
          <w:rFonts w:ascii="Arial" w:hAnsi="Arial" w:eastAsia="Arial"/>
          <w:b/>
          <w:sz w:val="30"/>
          <w:lang w:val="pt-BR"/>
        </w:rPr>
        <w:t>I. Deficiência e remediação</w:t>
      </w:r>
    </w:p>
    <w:p>
      <w:pPr>
        <w:keepLines/>
      </w:pPr>
      <w:r>
        <w:rPr>
          <w:rFonts w:ascii="Arial" w:hAnsi="Arial" w:eastAsia="Arial"/>
          <w:lang w:val="pt-BR"/>
        </w:rPr>
        <w:t>Registre condição factual, objetivo afetado, processo/sistema, duração, população potencial, controles compensatórios, causa raiz, contenção, ação corretiva, dono, prazo, evidência de encerramento e plano de reteste. Mantenha os fatos separados da classificação final como deficiência significativa ou fraqueza material.</w:t>
      </w:r>
    </w:p>
    <w:p>
      <w:pPr>
        <w:pStyle w:val="Heading2"/>
        <w:keepLines/>
        <w:keepNext/>
      </w:pPr>
      <w:r>
        <w:rPr>
          <w:rFonts w:ascii="Arial" w:hAnsi="Arial" w:eastAsia="Arial"/>
          <w:b/>
          <w:sz w:val="30"/>
          <w:lang w:val="pt-BR"/>
        </w:rPr>
        <w:t>J. Reavaliação por mudanças</w:t>
      </w:r>
    </w:p>
    <w:p>
      <w:pPr>
        <w:keepLines/>
      </w:pPr>
      <w:r>
        <w:rPr>
          <w:rFonts w:ascii="Arial" w:hAnsi="Arial" w:eastAsia="Arial"/>
          <w:lang w:val="pt-BR"/>
        </w:rPr>
        <w:t>Reavalie escopo e desenho após implementação relevante, migração ERP, aquisição, nuvem, mudança de identidade, terceirização, redesenho financeiro, nova interface, incidente material, exceção recorrente ou introdução de IA/automação financeiramente relevante. Registre evento, escopo afetado, riscos, controles alterados, evidência e testes requeridos.</w:t>
      </w:r>
    </w:p>
    <w:p>
      <w:pPr>
        <w:pStyle w:val="Heading2"/>
        <w:keepLines/>
        <w:keepNext/>
      </w:pPr>
      <w:r>
        <w:rPr>
          <w:rFonts w:ascii="Arial" w:hAnsi="Arial" w:eastAsia="Arial"/>
          <w:b/>
          <w:sz w:val="30"/>
          <w:lang w:val="pt-BR"/>
        </w:rPr>
        <w:t>K. Cenário — acesso privilegiado</w:t>
      </w:r>
    </w:p>
    <w:p>
      <w:pPr>
        <w:keepLines/>
      </w:pPr>
      <w:r>
        <w:rPr>
          <w:rFonts w:ascii="Arial" w:hAnsi="Arial" w:eastAsia="Arial"/>
          <w:lang w:val="pt-BR"/>
        </w:rPr>
        <w:t>Um administrador financeiro mantém privilégios após uma janela emergencial. Identifique sistemas/capacidades afetadas, revise atividade, corrija o acesso, avalie monitoramento, registre a exceção e determine se os testes precisam ser ampliados. A classificação final exige julgamento competente.</w:t>
      </w:r>
    </w:p>
    <w:p>
      <w:pPr>
        <w:pStyle w:val="Heading2"/>
        <w:keepLines/>
        <w:keepNext/>
      </w:pPr>
      <w:r>
        <w:rPr>
          <w:rFonts w:ascii="Arial" w:hAnsi="Arial" w:eastAsia="Arial"/>
          <w:b/>
          <w:sz w:val="30"/>
          <w:lang w:val="pt-BR"/>
        </w:rPr>
        <w:t>L. Cenário — parâmetro incorreto de relatório</w:t>
      </w:r>
    </w:p>
    <w:p>
      <w:pPr>
        <w:keepLines/>
      </w:pPr>
      <w:r>
        <w:rPr>
          <w:rFonts w:ascii="Arial" w:hAnsi="Arial" w:eastAsia="Arial"/>
          <w:lang w:val="pt-BR"/>
        </w:rPr>
        <w:t>Uma reconciliação mensal usa filtro de data incorreto por dois períodos. Reproduza populações corretas, avalie erros potencialmente não detectados, identifique controles alternativos, corrija procedimento/configuração, reteste e avalie a deficiência com critérios vigentes e fatos específicos.</w:t>
      </w:r>
    </w:p>
    <w:p>
      <w:pPr>
        <w:pStyle w:val="Heading2"/>
        <w:keepLines/>
        <w:keepNext/>
      </w:pPr>
      <w:r>
        <w:rPr>
          <w:rFonts w:ascii="Arial" w:hAnsi="Arial" w:eastAsia="Arial"/>
          <w:b/>
          <w:sz w:val="30"/>
          <w:lang w:val="pt-BR"/>
        </w:rPr>
        <w:t>M. Cenário — mudança de configuração SaaS</w:t>
      </w:r>
    </w:p>
    <w:p>
      <w:pPr>
        <w:keepLines/>
      </w:pPr>
      <w:r>
        <w:rPr>
          <w:rFonts w:ascii="Arial" w:hAnsi="Arial" w:eastAsia="Arial"/>
          <w:lang w:val="pt-BR"/>
        </w:rPr>
        <w:t>Um prestador altera um fluxo financeiro configurável. Determine impacto em aprovações, acesso, cálculos, interfaces ou evidência; obtenha informações disponíveis, compare configuração, teste o fluxo, atualize documentação e reavalie a dependência do prestador.</w:t>
      </w:r>
    </w:p>
    <w:p>
      <w:pPr>
        <w:pStyle w:val="Heading2"/>
        <w:keepLines/>
        <w:keepNext/>
      </w:pPr>
      <w:r>
        <w:rPr>
          <w:rFonts w:ascii="Arial" w:hAnsi="Arial" w:eastAsia="Arial"/>
          <w:b/>
          <w:sz w:val="30"/>
          <w:lang w:val="pt-BR"/>
        </w:rPr>
        <w:t>N. Cenário — processo financeiro assistido por IA</w:t>
      </w:r>
    </w:p>
    <w:p>
      <w:pPr>
        <w:keepLines/>
      </w:pPr>
      <w:r>
        <w:rPr>
          <w:rFonts w:ascii="Arial" w:hAnsi="Arial" w:eastAsia="Arial"/>
          <w:lang w:val="pt-BR"/>
        </w:rPr>
        <w:t>Uma ferramenta de IA propõe classificações contábeis. Controle uso aprovado, proveniência de entradas, revisão de saídas, mudanças, acesso, fallback, monitoramento, exceções e evidência. Pontuações de confiança do modelo não comprovam exatidão financeira; defina como a revisão humana valida resultados e escala anomalias.</w:t>
      </w:r>
    </w:p>
    <w:p>
      <w:pPr>
        <w:pStyle w:val="Heading2"/>
        <w:keepLines/>
        <w:keepNext/>
      </w:pPr>
      <w:r>
        <w:rPr>
          <w:rFonts w:ascii="Arial" w:hAnsi="Arial" w:eastAsia="Arial"/>
          <w:b/>
          <w:sz w:val="30"/>
          <w:lang w:val="pt-BR"/>
        </w:rPr>
        <w:t>O. Lista de evidência de publicação</w:t>
      </w:r>
    </w:p>
    <w:p>
      <w:pPr>
        <w:keepLines/>
      </w:pPr>
      <w:r>
        <w:rPr>
          <w:rFonts w:ascii="Arial" w:hAnsi="Arial" w:eastAsia="Arial"/>
          <w:lang w:val="pt-BR"/>
        </w:rPr>
        <w:t>O pacote final deve vincular identidade exata da fonte controlada, verificação de fontes autoritativas, fontes trilíngues, DOCX/PDF, QA de páginas, revisão de acessibilidade/visual, hashes, manifesto, segurança de workflows, reconciliação de mudanças e decisões de revisão aplicáveis ligadas ao candidato exato. A autorização final permanente já está estabelecida separadamente.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lang w:val="pt-BR"/>
      </w:rPr>
      <w:t xml:space="preserve">Manual 13 | CANDIDATO CONTROLADO PARA QA DE PUBLICACAO | </w:t>
    </w:r>
    <w:fldSimple w:instr="PAGE"/>
    <w:r>
      <w:rPr>
        <w:rFonts w:ascii="Arial" w:hAnsi="Arial" w:eastAsia="Arial"/>
        <w:sz w:val="16"/>
        <w:lang w:val="pt-BR"/>
      </w:rPr>
      <w:t xml:space="preserve">Manual 13 | CANDIDATO CONTROLADO PARA QA DE PUBLICACAO | </w:t>
    </w:r>
    <w:fldSimple w:instr="PAGE"/>
    <w:r>
      <w:rPr>
        <w:rFonts w:ascii="Arial" w:hAnsi="Arial" w:eastAsia="Arial"/>
        <w:sz w:val="16"/>
        <w:lang w:val="pt-BR"/>
      </w:rPr>
      <w:t xml:space="preserve">Manual 13 | CANDIDATO CONTROLADO PARA QA DE PUBLICACAO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pt-BR"/>
    </w:rPr>
  </w:style>
  <w:style w:type="character" w:customStyle="1" w:styleId="HeaderChar">
    <w:name w:val="Header Char"/>
    <w:basedOn w:val="DefaultParagraphFont"/>
    <w:link w:val="Header"/>
    <w:uiPriority w:val="99"/>
    <w:rsid w:val="00E618BF"/>
    <w:rPr>
      <w:lang w:val="pt-B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pt-BR"/>
    </w:rPr>
  </w:style>
  <w:style w:type="character" w:customStyle="1" w:styleId="FooterChar">
    <w:name w:val="Footer Char"/>
    <w:basedOn w:val="DefaultParagraphFont"/>
    <w:link w:val="Footer"/>
    <w:uiPriority w:val="99"/>
    <w:rsid w:val="00E618BF"/>
    <w:rPr>
      <w:lang w:val="pt-BR"/>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365F91" w:themeColor="accent1" w:themeShade="BF"/>
      <w:sz w:val="36"/>
      <w:szCs w:val="28"/>
      <w:lang w:val="pt-BR"/>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4F81BD" w:themeColor="accent1"/>
      <w:sz w:val="30"/>
      <w:szCs w:val="26"/>
      <w:lang w:val="pt-BR"/>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4F81BD" w:themeColor="accent1"/>
      <w:sz w:val="24"/>
      <w:lang w:val="pt-BR"/>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4F81BD" w:themeColor="accent1"/>
      <w:sz w:val="22"/>
      <w:lang w:val="pt-B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pt-B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pt-B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pt-B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pt-B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pt-BR"/>
    </w:rPr>
  </w:style>
  <w:style w:type="character" w:default="1" w:styleId="DefaultParagraphFont">
    <w:name w:val="Default Paragraph Font"/>
    <w:uiPriority w:val="1"/>
    <w:semiHidden/>
    <w:unhideWhenUsed/>
    <w:rPr>
      <w:lang w:val="pt-BR"/>
    </w:rPr>
  </w:style>
  <w:style w:type="table" w:default="1" w:styleId="TableNormal">
    <w:name w:val="Normal Table"/>
    <w:uiPriority w:val="99"/>
    <w:semiHidden/>
    <w:unhideWhenUsed/>
    <w:rPr>
      <w:lang w:val="pt-BR"/>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pt-BR"/>
    </w:rPr>
  </w:style>
  <w:style w:type="paragraph" w:styleId="NoSpacing">
    <w:name w:val="No Spacing"/>
    <w:uiPriority w:val="1"/>
    <w:qFormat/>
    <w:rsid w:val="00FC693F"/>
    <w:pPr>
      <w:spacing w:after="0" w:line="240" w:lineRule="auto"/>
    </w:pPr>
    <w:rPr>
      <w:lang w:val="pt-B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pt-BR"/>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pt-BR"/>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pt-BR"/>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pt-B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pt-BR"/>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pt-B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pt-BR"/>
    </w:rPr>
  </w:style>
  <w:style w:type="paragraph" w:styleId="ListParagraph">
    <w:name w:val="List Paragraph"/>
    <w:basedOn w:val="Normal"/>
    <w:uiPriority w:val="34"/>
    <w:qFormat/>
    <w:rsid w:val="00FC693F"/>
    <w:pPr>
      <w:ind w:left="720"/>
      <w:contextualSpacing/>
    </w:pPr>
    <w:rPr>
      <w:lang w:val="pt-BR"/>
    </w:rPr>
  </w:style>
  <w:style w:type="paragraph" w:styleId="BodyText">
    <w:name w:val="Body Text"/>
    <w:basedOn w:val="Normal"/>
    <w:link w:val="BodyTextChar"/>
    <w:uiPriority w:val="99"/>
    <w:unhideWhenUsed/>
    <w:rsid w:val="00AA1D8D"/>
    <w:pPr>
      <w:spacing w:after="120"/>
    </w:pPr>
    <w:rPr>
      <w:lang w:val="pt-BR"/>
    </w:rPr>
  </w:style>
  <w:style w:type="character" w:customStyle="1" w:styleId="BodyTextChar">
    <w:name w:val="Body Text Char"/>
    <w:basedOn w:val="DefaultParagraphFont"/>
    <w:link w:val="BodyText"/>
    <w:uiPriority w:val="99"/>
    <w:rsid w:val="00AA1D8D"/>
    <w:rPr>
      <w:lang w:val="pt-BR"/>
    </w:rPr>
  </w:style>
  <w:style w:type="paragraph" w:styleId="BodyText2">
    <w:name w:val="Body Text 2"/>
    <w:basedOn w:val="Normal"/>
    <w:link w:val="BodyText2Char"/>
    <w:uiPriority w:val="99"/>
    <w:unhideWhenUsed/>
    <w:rsid w:val="00AA1D8D"/>
    <w:pPr>
      <w:spacing w:after="120" w:line="480" w:lineRule="auto"/>
    </w:pPr>
    <w:rPr>
      <w:lang w:val="pt-BR"/>
    </w:rPr>
  </w:style>
  <w:style w:type="character" w:customStyle="1" w:styleId="BodyText2Char">
    <w:name w:val="Body Text 2 Char"/>
    <w:basedOn w:val="DefaultParagraphFont"/>
    <w:link w:val="BodyText2"/>
    <w:uiPriority w:val="99"/>
    <w:rsid w:val="00AA1D8D"/>
    <w:rPr>
      <w:lang w:val="pt-BR"/>
    </w:rPr>
  </w:style>
  <w:style w:type="paragraph" w:styleId="BodyText3">
    <w:name w:val="Body Text 3"/>
    <w:basedOn w:val="Normal"/>
    <w:link w:val="BodyText3Char"/>
    <w:uiPriority w:val="99"/>
    <w:unhideWhenUsed/>
    <w:rsid w:val="00AA1D8D"/>
    <w:pPr>
      <w:spacing w:after="120"/>
    </w:pPr>
    <w:rPr>
      <w:sz w:val="16"/>
      <w:szCs w:val="16"/>
      <w:lang w:val="pt-BR"/>
    </w:rPr>
  </w:style>
  <w:style w:type="character" w:customStyle="1" w:styleId="BodyText3Char">
    <w:name w:val="Body Text 3 Char"/>
    <w:basedOn w:val="DefaultParagraphFont"/>
    <w:link w:val="BodyText3"/>
    <w:uiPriority w:val="99"/>
    <w:rsid w:val="00AA1D8D"/>
    <w:rPr>
      <w:sz w:val="16"/>
      <w:szCs w:val="16"/>
      <w:lang w:val="pt-BR"/>
    </w:rPr>
  </w:style>
  <w:style w:type="paragraph" w:styleId="List">
    <w:name w:val="List"/>
    <w:basedOn w:val="Normal"/>
    <w:uiPriority w:val="99"/>
    <w:unhideWhenUsed/>
    <w:rsid w:val="00AA1D8D"/>
    <w:pPr>
      <w:ind w:left="360" w:hanging="360"/>
      <w:contextualSpacing/>
    </w:pPr>
    <w:rPr>
      <w:lang w:val="pt-BR"/>
    </w:rPr>
  </w:style>
  <w:style w:type="paragraph" w:styleId="List2">
    <w:name w:val="List 2"/>
    <w:basedOn w:val="Normal"/>
    <w:uiPriority w:val="99"/>
    <w:unhideWhenUsed/>
    <w:rsid w:val="00326F90"/>
    <w:pPr>
      <w:ind w:left="720" w:hanging="360"/>
      <w:contextualSpacing/>
    </w:pPr>
    <w:rPr>
      <w:lang w:val="pt-BR"/>
    </w:rPr>
  </w:style>
  <w:style w:type="paragraph" w:styleId="List3">
    <w:name w:val="List 3"/>
    <w:basedOn w:val="Normal"/>
    <w:uiPriority w:val="99"/>
    <w:unhideWhenUsed/>
    <w:rsid w:val="00326F90"/>
    <w:pPr>
      <w:ind w:left="1080" w:hanging="360"/>
      <w:contextualSpacing/>
    </w:pPr>
    <w:rPr>
      <w:lang w:val="pt-BR"/>
    </w:rPr>
  </w:style>
  <w:style w:type="paragraph" w:styleId="ListBullet">
    <w:name w:val="List Bullet"/>
    <w:basedOn w:val="Normal"/>
    <w:uiPriority w:val="99"/>
    <w:unhideWhenUsed/>
    <w:rsid w:val="00326F90"/>
    <w:pPr>
      <w:numPr>
        <w:numId w:val="1"/>
      </w:numPr>
      <w:contextualSpacing/>
    </w:pPr>
    <w:rPr>
      <w:lang w:val="pt-BR"/>
    </w:rPr>
  </w:style>
  <w:style w:type="paragraph" w:styleId="ListBullet2">
    <w:name w:val="List Bullet 2"/>
    <w:basedOn w:val="Normal"/>
    <w:uiPriority w:val="99"/>
    <w:unhideWhenUsed/>
    <w:rsid w:val="00326F90"/>
    <w:pPr>
      <w:numPr>
        <w:numId w:val="2"/>
      </w:numPr>
      <w:contextualSpacing/>
    </w:pPr>
    <w:rPr>
      <w:lang w:val="pt-BR"/>
    </w:rPr>
  </w:style>
  <w:style w:type="paragraph" w:styleId="ListBullet3">
    <w:name w:val="List Bullet 3"/>
    <w:basedOn w:val="Normal"/>
    <w:uiPriority w:val="99"/>
    <w:unhideWhenUsed/>
    <w:rsid w:val="00326F90"/>
    <w:pPr>
      <w:numPr>
        <w:numId w:val="3"/>
      </w:numPr>
      <w:contextualSpacing/>
    </w:pPr>
    <w:rPr>
      <w:lang w:val="pt-BR"/>
    </w:rPr>
  </w:style>
  <w:style w:type="paragraph" w:styleId="ListNumber">
    <w:name w:val="List Number"/>
    <w:basedOn w:val="Normal"/>
    <w:uiPriority w:val="99"/>
    <w:unhideWhenUsed/>
    <w:rsid w:val="00326F90"/>
    <w:pPr>
      <w:numPr>
        <w:numId w:val="5"/>
      </w:numPr>
      <w:contextualSpacing/>
    </w:pPr>
    <w:rPr>
      <w:lang w:val="pt-BR"/>
    </w:rPr>
  </w:style>
  <w:style w:type="paragraph" w:styleId="ListNumber2">
    <w:name w:val="List Number 2"/>
    <w:basedOn w:val="Normal"/>
    <w:uiPriority w:val="99"/>
    <w:unhideWhenUsed/>
    <w:rsid w:val="0029639D"/>
    <w:pPr>
      <w:numPr>
        <w:numId w:val="6"/>
      </w:numPr>
      <w:contextualSpacing/>
    </w:pPr>
    <w:rPr>
      <w:lang w:val="pt-BR"/>
    </w:rPr>
  </w:style>
  <w:style w:type="paragraph" w:styleId="ListNumber3">
    <w:name w:val="List Number 3"/>
    <w:basedOn w:val="Normal"/>
    <w:uiPriority w:val="99"/>
    <w:unhideWhenUsed/>
    <w:rsid w:val="0029639D"/>
    <w:pPr>
      <w:numPr>
        <w:numId w:val="7"/>
      </w:numPr>
      <w:contextualSpacing/>
    </w:pPr>
    <w:rPr>
      <w:lang w:val="pt-BR"/>
    </w:rPr>
  </w:style>
  <w:style w:type="paragraph" w:styleId="ListContinue">
    <w:name w:val="List Continue"/>
    <w:basedOn w:val="Normal"/>
    <w:uiPriority w:val="99"/>
    <w:unhideWhenUsed/>
    <w:rsid w:val="0029639D"/>
    <w:pPr>
      <w:spacing w:after="120"/>
      <w:ind w:left="360"/>
      <w:contextualSpacing/>
    </w:pPr>
    <w:rPr>
      <w:lang w:val="pt-BR"/>
    </w:rPr>
  </w:style>
  <w:style w:type="paragraph" w:styleId="ListContinue2">
    <w:name w:val="List Continue 2"/>
    <w:basedOn w:val="Normal"/>
    <w:uiPriority w:val="99"/>
    <w:unhideWhenUsed/>
    <w:rsid w:val="0029639D"/>
    <w:pPr>
      <w:spacing w:after="120"/>
      <w:ind w:left="720"/>
      <w:contextualSpacing/>
    </w:pPr>
    <w:rPr>
      <w:lang w:val="pt-BR"/>
    </w:rPr>
  </w:style>
  <w:style w:type="paragraph" w:styleId="ListContinue3">
    <w:name w:val="List Continue 3"/>
    <w:basedOn w:val="Normal"/>
    <w:uiPriority w:val="99"/>
    <w:unhideWhenUsed/>
    <w:rsid w:val="0029639D"/>
    <w:pPr>
      <w:spacing w:after="120"/>
      <w:ind w:left="1080"/>
      <w:contextualSpacing/>
    </w:pPr>
    <w:rPr>
      <w:lang w:val="pt-B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pt-BR"/>
    </w:rPr>
  </w:style>
  <w:style w:type="character" w:customStyle="1" w:styleId="MacroTextChar">
    <w:name w:val="Macro Text Char"/>
    <w:basedOn w:val="DefaultParagraphFont"/>
    <w:link w:val="MacroText"/>
    <w:uiPriority w:val="99"/>
    <w:rsid w:val="0029639D"/>
    <w:rPr>
      <w:rFonts w:ascii="Courier" w:hAnsi="Courier"/>
      <w:sz w:val="20"/>
      <w:szCs w:val="20"/>
      <w:lang w:val="pt-BR"/>
    </w:rPr>
  </w:style>
  <w:style w:type="paragraph" w:styleId="Quote">
    <w:name w:val="Quote"/>
    <w:basedOn w:val="Normal"/>
    <w:next w:val="Normal"/>
    <w:link w:val="QuoteChar"/>
    <w:uiPriority w:val="29"/>
    <w:qFormat/>
    <w:rsid w:val="00FC693F"/>
    <w:rPr>
      <w:i/>
      <w:iCs/>
      <w:color w:val="000000" w:themeColor="text1"/>
      <w:lang w:val="pt-BR"/>
    </w:rPr>
  </w:style>
  <w:style w:type="character" w:customStyle="1" w:styleId="QuoteChar">
    <w:name w:val="Quote Char"/>
    <w:basedOn w:val="DefaultParagraphFont"/>
    <w:link w:val="Quote"/>
    <w:uiPriority w:val="29"/>
    <w:rsid w:val="00FC693F"/>
    <w:rPr>
      <w:i/>
      <w:iCs/>
      <w:color w:val="000000" w:themeColor="text1"/>
      <w:lang w:val="pt-BR"/>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pt-BR"/>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pt-BR"/>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pt-BR"/>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pt-BR"/>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pt-BR"/>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pt-BR"/>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pt-BR"/>
    </w:rPr>
  </w:style>
  <w:style w:type="character" w:styleId="Strong">
    <w:name w:val="Strong"/>
    <w:basedOn w:val="DefaultParagraphFont"/>
    <w:uiPriority w:val="22"/>
    <w:qFormat/>
    <w:rsid w:val="00FC693F"/>
    <w:rPr>
      <w:b/>
      <w:bCs/>
      <w:lang w:val="pt-BR"/>
    </w:rPr>
  </w:style>
  <w:style w:type="character" w:styleId="Emphasis">
    <w:name w:val="Emphasis"/>
    <w:basedOn w:val="DefaultParagraphFont"/>
    <w:uiPriority w:val="20"/>
    <w:qFormat/>
    <w:rsid w:val="00FC693F"/>
    <w:rPr>
      <w:i/>
      <w:iCs/>
      <w:lang w:val="pt-BR"/>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pt-BR"/>
    </w:rPr>
  </w:style>
  <w:style w:type="character" w:customStyle="1" w:styleId="IntenseQuoteChar">
    <w:name w:val="Intense Quote Char"/>
    <w:basedOn w:val="DefaultParagraphFont"/>
    <w:link w:val="IntenseQuote"/>
    <w:uiPriority w:val="30"/>
    <w:rsid w:val="00FC693F"/>
    <w:rPr>
      <w:b/>
      <w:bCs/>
      <w:i/>
      <w:iCs/>
      <w:color w:val="4F81BD" w:themeColor="accent1"/>
      <w:lang w:val="pt-BR"/>
    </w:rPr>
  </w:style>
  <w:style w:type="character" w:styleId="SubtleEmphasis">
    <w:name w:val="Subtle Emphasis"/>
    <w:basedOn w:val="DefaultParagraphFont"/>
    <w:uiPriority w:val="19"/>
    <w:qFormat/>
    <w:rsid w:val="00FC693F"/>
    <w:rPr>
      <w:i/>
      <w:iCs/>
      <w:color w:val="808080" w:themeColor="text1" w:themeTint="7F"/>
      <w:lang w:val="pt-BR"/>
    </w:rPr>
  </w:style>
  <w:style w:type="character" w:styleId="IntenseEmphasis">
    <w:name w:val="Intense Emphasis"/>
    <w:basedOn w:val="DefaultParagraphFont"/>
    <w:uiPriority w:val="21"/>
    <w:qFormat/>
    <w:rsid w:val="00FC693F"/>
    <w:rPr>
      <w:b/>
      <w:bCs/>
      <w:i/>
      <w:iCs/>
      <w:color w:val="4F81BD" w:themeColor="accent1"/>
      <w:lang w:val="pt-BR"/>
    </w:rPr>
  </w:style>
  <w:style w:type="character" w:styleId="SubtleReference">
    <w:name w:val="Subtle Reference"/>
    <w:basedOn w:val="DefaultParagraphFont"/>
    <w:uiPriority w:val="31"/>
    <w:qFormat/>
    <w:rsid w:val="00FC693F"/>
    <w:rPr>
      <w:smallCaps/>
      <w:color w:val="C0504D" w:themeColor="accent2"/>
      <w:u w:val="single"/>
      <w:lang w:val="pt-BR"/>
    </w:rPr>
  </w:style>
  <w:style w:type="character" w:styleId="IntenseReference">
    <w:name w:val="Intense Reference"/>
    <w:basedOn w:val="DefaultParagraphFont"/>
    <w:uiPriority w:val="32"/>
    <w:qFormat/>
    <w:rsid w:val="00FC693F"/>
    <w:rPr>
      <w:b/>
      <w:bCs/>
      <w:smallCaps/>
      <w:color w:val="C0504D" w:themeColor="accent2"/>
      <w:spacing w:val="5"/>
      <w:u w:val="single"/>
      <w:lang w:val="pt-BR"/>
    </w:rPr>
  </w:style>
  <w:style w:type="character" w:styleId="BookTitle">
    <w:name w:val="Book Title"/>
    <w:basedOn w:val="DefaultParagraphFont"/>
    <w:uiPriority w:val="33"/>
    <w:qFormat/>
    <w:rsid w:val="00FC693F"/>
    <w:rPr>
      <w:b/>
      <w:bCs/>
      <w:smallCaps/>
      <w:spacing w:val="5"/>
      <w:lang w:val="pt-BR"/>
    </w:rPr>
  </w:style>
  <w:style w:type="paragraph" w:styleId="TOCHeading">
    <w:name w:val="TOC Heading"/>
    <w:basedOn w:val="Heading1"/>
    <w:next w:val="Normal"/>
    <w:uiPriority w:val="39"/>
    <w:semiHidden/>
    <w:unhideWhenUsed/>
    <w:qFormat/>
    <w:rsid w:val="00FC693F"/>
    <w:pPr>
      <w:outlineLvl w:val="9"/>
    </w:pPr>
    <w:rPr>
      <w:lang w:val="pt-BR"/>
    </w:rPr>
  </w:style>
  <w:style w:type="table" w:styleId="TableGrid">
    <w:name w:val="Table Grid"/>
    <w:basedOn w:val="TableNormal"/>
    <w:uiPriority w:val="59"/>
    <w:rsid w:val="00FC693F"/>
    <w:pPr>
      <w:spacing w:after="0" w:line="240" w:lineRule="auto"/>
    </w:pPr>
    <w:rPr>
      <w:lang w:val="pt-B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pt-B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pt-B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pt-B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pt-B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pt-B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pt-B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pt-B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pt-B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pt-B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pt-B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pt-B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pt-B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pt-B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pt-B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pt-B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pt-B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pt-B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pt-B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pt-B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pt-B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pt-B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13 - Implementação Controlada SOX ITGC / ICFR</dc:title>
  <dc:subject>Manual 13 controlled publication-QA artifact; language pt-BR; source head bd95c57ec7c4f55f6c2c8720afa1ad9df4c16679</dc:subject>
  <dc:creator>Alberto (Al) Leiva</dc:creator>
  <cp:keywords>SOX, ICFR, ITGC, Section 302, Section 404, SEC, PCAOB, evidence, access, change management, computer operations</cp:keywords>
  <dc:description>Automated generation does not provide legal advice, an audit opinion, deficiency classification, or a guarantee of SOX compliance.</dc:description>
  <cp:lastModifiedBy/>
  <cp:revision>1</cp:revision>
  <dcterms:created xsi:type="dcterms:W3CDTF">2013-12-23T23:15:00Z</dcterms:created>
  <dcterms:modified xsi:type="dcterms:W3CDTF">2013-12-23T23:15:00Z</dcterms:modified>
  <cp:category/>
</cp:coreProperties>
</file>