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Manual 14 - Implementación Controlada PCI DSS v4.0.1</w:t>
      </w:r>
    </w:p>
    <w:p>
      <w:r>
        <w:rPr>
          <w:b/>
        </w:rPr>
        <w:t>Authority boundary: practical implementation guidance based on the current PCI SSC source state. This is not PCI SSC endorsement, certification, an official translation, legal advice, or a substitute for required qualified validation.</w:t>
      </w:r>
    </w:p>
    <w:p>
      <w:pPr>
        <w:pStyle w:val="Title"/>
      </w:pPr>
      <w:r>
        <w:t>Manual 14 — PCI DSS Implementation Paths</w:t>
      </w:r>
    </w:p>
    <w:p>
      <w:pPr>
        <w:pStyle w:val="Heading1"/>
      </w:pPr>
      <w:r>
        <w:t>Essential path</w:t>
      </w:r>
    </w:p>
    <w:p>
      <w:r>
        <w:t>For smaller or lower-complexity environments that still require disciplined PCI DSS scoping and evidence. Minimum outputs: CDE scope statement, data-flow diagram, asset inventory, responsibility matrix, core configuration standards, access/MFA evidence, vulnerability evidence, logging evidence, incident-response evidence, third-party attestations, and remediation register.</w:t>
      </w:r>
    </w:p>
    <w:p>
      <w:pPr>
        <w:pStyle w:val="Heading1"/>
      </w:pPr>
      <w:r>
        <w:t>Structured path</w:t>
      </w:r>
    </w:p>
    <w:p>
      <w:r>
        <w:t>For organizations with multiple applications, service providers, business units, or formal compliance operations. Adds control ownership, evidence calendars, change-driven reassessment, service-provider dependency mapping, secure-development evidence, penetration-test governance, exception/compensating-control records, and management reporting.</w:t>
      </w:r>
    </w:p>
    <w:p>
      <w:pPr>
        <w:pStyle w:val="Heading1"/>
      </w:pPr>
      <w:r>
        <w:t>Enhanced path</w:t>
      </w:r>
    </w:p>
    <w:p>
      <w:r>
        <w:t>For complex enterprises, high transaction volumes, hybrid/multi-cloud environments, extensive third-party dependencies, or environments requiring continuous assurance. Adds automated evidence collection where appropriate, continuous control monitoring, risk-based sampling, dependency graphing, control-health metrics, integrated GRC workflows, and formal management assurance.</w:t>
      </w:r>
    </w:p>
    <w:p>
      <w:pPr>
        <w:pStyle w:val="Heading1"/>
      </w:pPr>
      <w:r>
        <w:t>Evidence object schema</w:t>
      </w:r>
    </w:p>
    <w:p>
      <w:r>
        <w:t>Every control implementation should record:</w:t>
      </w:r>
    </w:p>
    <w:p>
      <w:pPr>
        <w:pStyle w:val="ListBullet"/>
      </w:pPr>
      <w:r>
        <w:t>requirement/control objective</w:t>
      </w:r>
    </w:p>
    <w:p>
      <w:pPr>
        <w:pStyle w:val="ListBullet"/>
      </w:pPr>
      <w:r>
        <w:t>applicability and scope</w:t>
      </w:r>
    </w:p>
    <w:p>
      <w:pPr>
        <w:pStyle w:val="ListBullet"/>
      </w:pPr>
      <w:r>
        <w:t>accountable owner</w:t>
      </w:r>
    </w:p>
    <w:p>
      <w:pPr>
        <w:pStyle w:val="ListBullet"/>
      </w:pPr>
      <w:r>
        <w:t>responsible operator</w:t>
      </w:r>
    </w:p>
    <w:p>
      <w:pPr>
        <w:pStyle w:val="ListBullet"/>
      </w:pPr>
      <w:r>
        <w:t>implementation procedure</w:t>
      </w:r>
    </w:p>
    <w:p>
      <w:pPr>
        <w:pStyle w:val="ListBullet"/>
      </w:pPr>
      <w:r>
        <w:t>operating frequency</w:t>
      </w:r>
    </w:p>
    <w:p>
      <w:pPr>
        <w:pStyle w:val="ListBullet"/>
      </w:pPr>
      <w:r>
        <w:t>evidence artifact</w:t>
      </w:r>
    </w:p>
    <w:p>
      <w:pPr>
        <w:pStyle w:val="ListBullet"/>
      </w:pPr>
      <w:r>
        <w:t>evidence repository/location</w:t>
      </w:r>
    </w:p>
    <w:p>
      <w:pPr>
        <w:pStyle w:val="ListBullet"/>
      </w:pPr>
      <w:r>
        <w:t>retention expectation</w:t>
      </w:r>
    </w:p>
    <w:p>
      <w:pPr>
        <w:pStyle w:val="ListBullet"/>
      </w:pPr>
      <w:r>
        <w:t>reviewer/test procedure</w:t>
      </w:r>
    </w:p>
    <w:p>
      <w:pPr>
        <w:pStyle w:val="ListBullet"/>
      </w:pPr>
      <w:r>
        <w:t>result/status</w:t>
      </w:r>
    </w:p>
    <w:p>
      <w:pPr>
        <w:pStyle w:val="ListBullet"/>
      </w:pPr>
      <w:r>
        <w:t>exception or compensating-control reference</w:t>
      </w:r>
    </w:p>
    <w:p>
      <w:pPr>
        <w:pStyle w:val="ListBullet"/>
      </w:pPr>
      <w:r>
        <w:t>remediation owner/date</w:t>
      </w:r>
    </w:p>
    <w:p>
      <w:pPr>
        <w:pStyle w:val="ListBullet"/>
      </w:pPr>
      <w:r>
        <w:t>reassessment trigger</w:t>
      </w:r>
    </w:p>
    <w:p>
      <w:pPr>
        <w:pStyle w:val="Heading1"/>
      </w:pPr>
      <w:r>
        <w:t>Decision controls</w:t>
      </w:r>
    </w:p>
    <w:p>
      <w:r>
        <w:t>The controlled manual must explicitly separate:</w:t>
      </w:r>
    </w:p>
    <w:p>
      <w:pPr>
        <w:pStyle w:val="ListBullet"/>
      </w:pPr>
      <w:r>
        <w:t>defined approach vs customized approach where applicable;</w:t>
      </w:r>
    </w:p>
    <w:p>
      <w:pPr>
        <w:pStyle w:val="ListBullet"/>
      </w:pPr>
      <w:r>
        <w:t>underlying security requirements vs SAQ/ROC/AOC validation instruments;</w:t>
      </w:r>
    </w:p>
    <w:p>
      <w:pPr>
        <w:pStyle w:val="ListBullet"/>
      </w:pPr>
      <w:r>
        <w:t>PCI DSS requirements vs adjacent PCI standards;</w:t>
      </w:r>
    </w:p>
    <w:p>
      <w:pPr>
        <w:pStyle w:val="ListBullet"/>
      </w:pPr>
      <w:r>
        <w:t>PCI DSS obligations vs contractual/acquirer/payment-brand requirements;</w:t>
      </w:r>
    </w:p>
    <w:p>
      <w:pPr>
        <w:pStyle w:val="ListBullet"/>
      </w:pPr>
      <w:r>
        <w:t>PCI DSS requirements vs jurisdiction-specific law;</w:t>
      </w:r>
    </w:p>
    <w:p>
      <w:pPr>
        <w:pStyle w:val="ListBullet"/>
      </w:pPr>
      <w:r>
        <w:t>technical remediation vs formal exception/compensating-control governance.</w:t>
      </w:r>
    </w:p>
    <w:p>
      <w:pPr>
        <w:pStyle w:val="Heading1"/>
      </w:pPr>
      <w:r>
        <w:t>Publication rule</w:t>
      </w:r>
    </w:p>
    <w:p>
      <w:r>
        <w:t>Implementation-path maturity must never be represented as certification status. Publication requires exact-candidate QA, durable artifacts, provenance, release-registry reconciliation, and sequential predecessor clearance.</w:t>
      </w:r>
    </w:p>
    <w:p>
      <w:r>
        <w:br w:type="page"/>
      </w:r>
    </w:p>
    <w:p>
      <w:pPr>
        <w:pStyle w:val="Title"/>
      </w:pPr>
      <w:r>
        <w:t>Manual 14 — Implementación Controlada PCI DSS v4.0.1</w:t>
      </w:r>
    </w:p>
    <w:p>
      <w:pPr>
        <w:pStyle w:val="Heading1"/>
      </w:pPr>
      <w:r>
        <w:t>Chapter 01 — Gobierno y modelo operativo PCI DSS</w:t>
      </w:r>
    </w:p>
    <w:p>
      <w:r>
        <w:t>Establezca un modelo operativo con patrocinio ejecutivo, responsable del programa, dueños de controles, operadores, revisores y rutas de escalamiento. Mantenga calendario, registro de decisiones, inventario de evidencias, registro de remediación y proceso de reevaluación por cambios.</w:t>
      </w:r>
    </w:p>
    <w:p>
      <w:pPr>
        <w:pStyle w:val="Heading1"/>
      </w:pPr>
      <w:r>
        <w:t>Chapter 02 — Aplicabilidad y límites de entidad/validación</w:t>
      </w:r>
    </w:p>
    <w:p>
      <w:r>
        <w:t>Determine por qué aplica PCI DSS, qué entidades y entornos están dentro de alcance y qué ruta de validación corresponde. Separe requisitos PCI DSS de obligaciones contractuales, del adquirente, marcas de pago y leyes jurisdiccionales.</w:t>
      </w:r>
    </w:p>
    <w:p>
      <w:pPr>
        <w:pStyle w:val="Heading1"/>
      </w:pPr>
      <w:r>
        <w:t>Chapter 03 — Datos de cuenta y límites de protección</w:t>
      </w:r>
    </w:p>
    <w:p>
      <w:r>
        <w:t>Clasifique datos de cuenta, incluido PAN y datos sensibles de autenticación, y defina patrones permitidos de recolección, procesamiento, transmisión, visualización y almacenamiento. Mantenga reglas de retención, eliminación, enmascaramiento, truncamiento y protección criptográfica.</w:t>
      </w:r>
    </w:p>
    <w:p>
      <w:pPr>
        <w:pStyle w:val="Heading1"/>
      </w:pPr>
      <w:r>
        <w:t>Chapter 04 — Alcance y límites del CDE</w:t>
      </w:r>
    </w:p>
    <w:p>
      <w:r>
        <w:t>Defina el entorno de datos del titular de tarjeta y sistemas conectados o capaces de afectar su seguridad. Use procedimientos repetibles que consideren redes, identidades, administración, servicios compartidos, nube, herramientas de seguridad y terceros.</w:t>
      </w:r>
    </w:p>
    <w:p>
      <w:pPr>
        <w:pStyle w:val="Heading1"/>
      </w:pPr>
      <w:r>
        <w:t>Chapter 05 — Flujos de datos y segmentación</w:t>
      </w:r>
    </w:p>
    <w:p>
      <w:r>
        <w:t>Mantenga diagramas actuales de flujos de pago y datos de cuenta. Cuando la segmentación reduzca alcance, documente objetivo, puntos de control, dependencias administrativas, método de prueba y evidencia de efectividad continua.</w:t>
      </w:r>
    </w:p>
    <w:p>
      <w:pPr>
        <w:pStyle w:val="Heading1"/>
      </w:pPr>
      <w:r>
        <w:t>Chapter 06 — Roles, validación y aseguramiento</w:t>
      </w:r>
    </w:p>
    <w:p>
      <w:r>
        <w:t>Defina responsabilidades de gestión, operación, aseguramiento interno, QSA/ISA, ASV, adquirente y marcas de pago. Distinga SAQ, ROC y AOC de los requisitos de seguridad subyacentes.</w:t>
      </w:r>
    </w:p>
    <w:p>
      <w:pPr>
        <w:pStyle w:val="Heading1"/>
      </w:pPr>
      <w:r>
        <w:t>Chapter 07 — Enfoques definido, personalizado y controles compensatorios</w:t>
      </w:r>
    </w:p>
    <w:p>
      <w:r>
        <w:t>Identifique el enfoque aplicable para cada requisito. Para controles compensatorios, documente restricción, objetivo, riesgo, diseño, validación, aprobación, vencimiento/reevaluación y evidencia.</w:t>
      </w:r>
    </w:p>
    <w:p>
      <w:pPr>
        <w:pStyle w:val="Heading1"/>
      </w:pPr>
      <w:r>
        <w:t>Chapter 08 — Arquitectura de evidencia y rutas de implementación</w:t>
      </w:r>
    </w:p>
    <w:p>
      <w:r>
        <w:t>Use rutas Esencial, Estructurada y Mejorada para escalar rigor operativo sin alterar obligaciones. Cada objeto de evidencia debe indicar objetivo, alcance, dueño, procedimiento, frecuencia, artefacto, ubicación, retención, revisión/prueba, resultado, excepción/remediación y disparador de reevaluación.</w:t>
      </w:r>
    </w:p>
    <w:p>
      <w:pPr>
        <w:pStyle w:val="Heading1"/>
      </w:pPr>
      <w:r>
        <w:t>Chapter 09 — Controles de seguridad de red</w:t>
      </w:r>
    </w:p>
    <w:p>
      <w:r>
        <w:t>Defina controles de red alrededor del CDE y entornos conectados mediante arquitectura aprobada, estándares de configuración, control de cambios, revisión de reglas y evidencia retenida.</w:t>
      </w:r>
    </w:p>
    <w:p>
      <w:pPr>
        <w:pStyle w:val="Heading1"/>
      </w:pPr>
      <w:r>
        <w:t>Chapter 10 — Configuraciones seguras</w:t>
      </w:r>
    </w:p>
    <w:p>
      <w:r>
        <w:t>Mantenga estándares endurecidos para componentes en alcance y gestione desviaciones mediante excepciones controladas. Conserve línea base, estado, cambios, revisiones y verificación.</w:t>
      </w:r>
    </w:p>
    <w:p>
      <w:pPr>
        <w:pStyle w:val="Heading1"/>
      </w:pPr>
      <w:r>
        <w:t>Chapter 11 — Protección de datos de cuenta almacenados</w:t>
      </w:r>
    </w:p>
    <w:p>
      <w:r>
        <w:t>Minimice almacenamiento y conserve datos solo por necesidades documentadas. Aplique enmascaramiento, truncamiento, cifrado, gestión de claves y eliminación según corresponda.</w:t>
      </w:r>
    </w:p>
    <w:p>
      <w:pPr>
        <w:pStyle w:val="Heading1"/>
      </w:pPr>
      <w:r>
        <w:t>Chapter 12 — Criptografía en transmisión</w:t>
      </w:r>
    </w:p>
    <w:p>
      <w:r>
        <w:t>Proteja datos de cuenta en redes abiertas o públicas con protocolos y configuraciones criptográficas aprobadas y vigentes. Mantenga inventarios de flujos, configuraciones y validación periódica.</w:t>
      </w:r>
    </w:p>
    <w:p>
      <w:pPr>
        <w:pStyle w:val="Heading1"/>
      </w:pPr>
      <w:r>
        <w:t>Chapter 13 — Defensas contra malware</w:t>
      </w:r>
    </w:p>
    <w:p>
      <w:r>
        <w:t>Identifique sistemas expuestos a riesgo de malware e implemente prevención, detección, monitoreo, actualización y respuesta. Documente decisiones de aplicabilidad y su reevaluación.</w:t>
      </w:r>
    </w:p>
    <w:p>
      <w:pPr>
        <w:pStyle w:val="Heading1"/>
      </w:pPr>
      <w:r>
        <w:t>Chapter 14 — Sistemas y software seguros</w:t>
      </w:r>
    </w:p>
    <w:p>
      <w:r>
        <w:t>Integre prevención de vulnerabilidades, codificación segura, cambios, segregación de funciones, pruebas y aprobación de liberaciones al ciclo de desarrollo, incluyendo dependencias de comercio electrónico cuando correspondan.</w:t>
      </w:r>
    </w:p>
    <w:p>
      <w:pPr>
        <w:pStyle w:val="Heading1"/>
      </w:pPr>
      <w:r>
        <w:t>Chapter 15 — Gestión de vulnerabilidades</w:t>
      </w:r>
    </w:p>
    <w:p>
      <w:r>
        <w:t>Opere un ciclo de descubrimiento, evaluación de riesgo, priorización, dueño, remediación, excepción, nueva prueba y métricas. La salida de herramientas es insumo de evidencia, no prueba de cumplimiento por sí sola.</w:t>
      </w:r>
    </w:p>
    <w:p>
      <w:pPr>
        <w:pStyle w:val="Heading1"/>
      </w:pPr>
      <w:r>
        <w:t>Chapter 16 — Control de cambios y aseguramiento de configuración</w:t>
      </w:r>
    </w:p>
    <w:p>
      <w:r>
        <w:t>Exija solicitud, impacto, autorización, pruebas, implementación, reversa y verificación posterior para cambios materiales. Incluya implicaciones de alcance PCI.</w:t>
      </w:r>
    </w:p>
    <w:p>
      <w:pPr>
        <w:pStyle w:val="Heading1"/>
      </w:pPr>
      <w:r>
        <w:t>Chapter 17 — Modelo de control de acceso</w:t>
      </w:r>
    </w:p>
    <w:p>
      <w:r>
        <w:t>Otorgue acceso por necesidad de negocio, mínimo privilegio, roles y segregación de funciones. Mantenga evidencias de altas, cambios, bajas, privilegios y revisiones periódicas.</w:t>
      </w:r>
    </w:p>
    <w:p>
      <w:pPr>
        <w:pStyle w:val="Heading1"/>
      </w:pPr>
      <w:r>
        <w:t>Chapter 18 — Identidad, autenticación y MFA</w:t>
      </w:r>
    </w:p>
    <w:p>
      <w:r>
        <w:t>Mantenga ciclos de identidad, estándares de autenticación, MFA, cuentas de servicio, secretos y controles privilegiados. Evidencie alta, configuración, revisión, revocación y respuesta a anomalías.</w:t>
      </w:r>
    </w:p>
    <w:p>
      <w:pPr>
        <w:pStyle w:val="Heading1"/>
      </w:pPr>
      <w:r>
        <w:t>Chapter 19 — Acceso físico</w:t>
      </w:r>
    </w:p>
    <w:p>
      <w:r>
        <w:t>Controle acceso físico a instalaciones, sistemas, medios y áreas relevantes. Mantenga evidencias de visitantes, credenciales, medios, eliminación y revisiones según aplique.</w:t>
      </w:r>
    </w:p>
    <w:p>
      <w:pPr>
        <w:pStyle w:val="Heading1"/>
      </w:pPr>
      <w:r>
        <w:t>Chapter 20 — Registro y monitoreo</w:t>
      </w:r>
    </w:p>
    <w:p>
      <w:r>
        <w:t>Defina fuentes de logs, recolección, sincronización, retención, revisión, alertas, escalamiento y ubicaciones de evidencia. Demuestre operación e investigación de eventos significativos.</w:t>
      </w:r>
    </w:p>
    <w:p>
      <w:pPr>
        <w:pStyle w:val="Heading1"/>
      </w:pPr>
      <w:r>
        <w:t>Chapter 21 — Pruebas de seguridad</w:t>
      </w:r>
    </w:p>
    <w:p>
      <w:r>
        <w:t>Mantenga programa de escaneo, pruebas de penetración, validación de segmentación, evaluación inalámbrica cuando aplique y otras pruebas requeridas, con alcance, independencia, frecuencia, evidencia, remediación y nueva prueba.</w:t>
      </w:r>
    </w:p>
    <w:p>
      <w:pPr>
        <w:pStyle w:val="Heading1"/>
      </w:pPr>
      <w:r>
        <w:t>Chapter 22 — Escaneos externos y límites ASV</w:t>
      </w:r>
    </w:p>
    <w:p>
      <w:r>
        <w:t>Distinga escaneos internos de preparación de resultados oficiales ASV cuando correspondan. Herramientas abiertas o comerciales no sustituyen validación calificada.</w:t>
      </w:r>
    </w:p>
    <w:p>
      <w:pPr>
        <w:pStyle w:val="Heading1"/>
      </w:pPr>
      <w:r>
        <w:t>Chapter 23 — Pruebas de penetración y validación de segmentación</w:t>
      </w:r>
    </w:p>
    <w:p>
      <w:r>
        <w:t>Defina objetivo, alcance, independencia/competencia, metodología, tratamiento de resultados, remediación y nueva prueba. Verifique segmentación contra rutas realistas y dependencias administrativas.</w:t>
      </w:r>
    </w:p>
    <w:p>
      <w:pPr>
        <w:pStyle w:val="Heading1"/>
      </w:pPr>
      <w:r>
        <w:t>Chapter 24 — Proveedores de servicio y evidencia de terceros</w:t>
      </w:r>
    </w:p>
    <w:p>
      <w:r>
        <w:t>Inventaríe proveedores que almacenen, procesen, transmitan, protejan o puedan afectar datos de cuenta. Mantenga matrices de responsabilidad, compromisos, atestaciones, descripción del servicio, dependencias y monitoreo.</w:t>
      </w:r>
    </w:p>
    <w:p>
      <w:pPr>
        <w:pStyle w:val="Heading1"/>
      </w:pPr>
      <w:r>
        <w:t>Chapter 25 — Respuesta a incidentes</w:t>
      </w:r>
    </w:p>
    <w:p>
      <w:r>
        <w:t>Mantenga y pruebe un plan para eventos de pago/datos de cuenta con roles, comunicaciones, preservación de evidencia, contención, recuperación, dependencias de notificación y lecciones aprendidas.</w:t>
      </w:r>
    </w:p>
    <w:p>
      <w:pPr>
        <w:pStyle w:val="Heading1"/>
      </w:pPr>
      <w:r>
        <w:t>Chapter 26 — Excepciones y controles compensatorios</w:t>
      </w:r>
    </w:p>
    <w:p>
      <w:r>
        <w:t>Use un proceso gobernado con justificación, objetivo afectado, evaluación de riesgo, aprobador, vencimiento, evidencia, monitoreo y remediación. No convierta excepciones en renuncias silenciosas.</w:t>
      </w:r>
    </w:p>
    <w:p>
      <w:pPr>
        <w:pStyle w:val="Heading1"/>
      </w:pPr>
      <w:r>
        <w:t>Chapter 27 — Operación de la ruta de validación</w:t>
      </w:r>
    </w:p>
    <w:p>
      <w:r>
        <w:t>Prepare la ruta aplicable usando inventario de evidencias, matriz de dueños, seguimiento de problemas y controles de calidad, separando preparación de SAQ/ROC/AOC de la operación real de controles y del juicio del evaluador.</w:t>
      </w:r>
    </w:p>
    <w:p>
      <w:pPr>
        <w:pStyle w:val="Heading1"/>
      </w:pPr>
      <w:r>
        <w:t>Chapter 28 — Cumplimiento continuo y monitoreo de controles</w:t>
      </w:r>
    </w:p>
    <w:p>
      <w:r>
        <w:t>Programe actividades y evidencias durante todo el año. Controle salud, faltantes, evidencia obsoleta, excepciones, cambios y envejecimiento de remediaciones.</w:t>
      </w:r>
    </w:p>
    <w:p>
      <w:pPr>
        <w:pStyle w:val="Heading1"/>
      </w:pPr>
      <w:r>
        <w:t>Chapter 29 — Remediación y nueva prueba</w:t>
      </w:r>
    </w:p>
    <w:p>
      <w:r>
        <w:t>Para cada hallazgo mantenga dueño, causa raíz cuando sea práctico, plan, fecha, tratamiento interino, evidencia de cierre y resultado de nueva prueba. El cierre requiere verificación objetiva.</w:t>
      </w:r>
    </w:p>
    <w:p>
      <w:pPr>
        <w:pStyle w:val="Heading1"/>
      </w:pPr>
      <w:r>
        <w:t>Chapter 30 — Aseguramiento y reporte a la dirección</w:t>
      </w:r>
    </w:p>
    <w:p>
      <w:r>
        <w:t>Reporte alcance, salud de controles, hallazgos abiertos, excepciones, terceros, actividades próximas y cambios materiales. Documente aceptación de riesgo y escalamiento.</w:t>
      </w:r>
    </w:p>
    <w:p>
      <w:pPr>
        <w:pStyle w:val="Heading1"/>
      </w:pPr>
      <w:r>
        <w:t>Chapter 31 — Progresión de madurez y capacidad</w:t>
      </w:r>
    </w:p>
    <w:p>
      <w:r>
        <w:t>Evolucione de recopilación reactiva de evidencia a aseguramiento repetible, medido y más automatizado. La madurez mejora calidad y oportunidad, pero no sustituye requisitos aplicables.</w:t>
      </w:r>
    </w:p>
    <w:p>
      <w:pPr>
        <w:pStyle w:val="Heading1"/>
      </w:pPr>
      <w:r>
        <w:t>Chapter 32 — Escenarios de implementación y fallas</w:t>
      </w:r>
    </w:p>
    <w:p>
      <w:r>
        <w:t>Use escenarios realistas de alcance, incidentes, escaneos fallidos, accesos anómalos, cambios de proveedor, migraciones a nube, comercio electrónico, fallas de segmentación y brechas de evidencia. Registre lecciones y mejoras.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Manual 14 | CONTROLLED PUBLICATION CANDIDATE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14 - Implementación Controlada PCI DSS v4.0.1</dc:title>
  <dc:subject>Controlled PCI DSS implementation guidance</dc:subject>
  <dc:creator>Alberto (Al) Leiva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