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SÉRIES PRÁTICAS DE CIBERSegurança, PRIVACIDADE E COMPLIANÇA</w:t>
      </w:r>
    </w:p>
    <w:p>
      <w:pPr>
        <w:pStyle w:val="BodyText"/>
      </w:pPr>
      <w:r>
        <w:rPr>
          <w:bCs/>
          <w:b/>
        </w:rPr>
        <w:t xml:space="preserve">NIST CYBERSECURITY Framework 2.0</w:t>
      </w:r>
    </w:p>
    <w:p>
      <w:pPr>
        <w:pStyle w:val="BodyText"/>
      </w:pPr>
      <w:r>
        <w:rPr>
          <w:bCs/>
          <w:b/>
        </w:rPr>
        <w:t xml:space="preserve">Práctica GRC, Implementação, Evidência e Ferramentas de Código Aberto</w:t>
      </w:r>
    </w:p>
    <w:p>
      <w:pPr>
        <w:numPr>
          <w:ilvl w:val="0"/>
          <w:numId w:val="1001"/>
        </w:numPr>
        <w:pStyle w:val="Compact"/>
      </w:pPr>
      <w:r>
        <w:t xml:space="preserve">Um manual de trabalho para gerentes, analistas júnior, estudantes, mudadores de carreira e equipes de segurança cibernética*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bookmarkStart w:id="20" w:name="X33d38e90813a5f796f5d9186a6ef32d3496bfd4"/>
    <w:p>
      <w:pPr>
        <w:pStyle w:val="Heading2"/>
      </w:pPr>
      <w:r>
        <w:t xml:space="preserve">Inside:** Todos os 106 CSF Resultados principais • Perfis • Níveis • GRC • cadeia de abastecimento • provas • testes de controlo • ferramentas de código aberto • laboratórios • preparação de carreira</w:t>
      </w:r>
    </w:p>
    <w:bookmarkEnd w:id="20"/>
    <w:bookmarkStart w:id="21" w:name="publicação-e-aviso-de-uso"/>
    <w:p>
      <w:pPr>
        <w:pStyle w:val="Heading1"/>
      </w:pPr>
      <w:r>
        <w:t xml:space="preserve">Publicação e Aviso de Uso</w:t>
      </w:r>
    </w:p>
    <w:p>
      <w:pPr>
        <w:pStyle w:val="FirstParagraph"/>
      </w:pPr>
      <w:r>
        <w:t xml:space="preserve">Autor: Alberto (Al) Leiva</w:t>
      </w:r>
    </w:p>
    <w:p>
      <w:pPr>
        <w:pStyle w:val="BodyText"/>
      </w:pPr>
      <w:r>
        <w:t xml:space="preserve">Edição: Primeira Edição, Julho 2026</w:t>
      </w:r>
    </w:p>
    <w:p>
      <w:pPr>
        <w:pStyle w:val="BodyText"/>
      </w:pPr>
      <w:r>
        <w:t xml:space="preserve">Objetivo: Educação prática gratuita para gestores, analistas júnior, estudantes, profissionais de mudança de carreira, profissionais de risco e profissionais de segurança cibernética.</w:t>
      </w:r>
    </w:p>
    <w:bookmarkEnd w:id="21"/>
    <w:bookmarkStart w:id="22" w:name="aviso-educacional"/>
    <w:p>
      <w:pPr>
        <w:pStyle w:val="Heading1"/>
      </w:pPr>
      <w:r>
        <w:t xml:space="preserve"># Aviso educacional</w:t>
      </w:r>
    </w:p>
    <w:p>
      <w:pPr>
        <w:pStyle w:val="FirstParagraph"/>
      </w:pPr>
      <w:r>
        <w:t xml:space="preserve">Este manual fornece informações educacionais gerais. Não cria certificação, conformidade legal, um parecer de auditoria ou uma garantia de segurança. As organizações devem adaptar o NIST CSF à sua missão, riscos, obrigações, apetite de risco, recursos, tecnologias e stakeholders. Use as fontes oficiais atuais e qualificadas legais, risco, privacidade, segurança, auditoria e consultoria técnica para decisões reais.</w:t>
      </w:r>
    </w:p>
    <w:bookmarkEnd w:id="22"/>
    <w:bookmarkStart w:id="23" w:name="uso-ético-e-autorizado"/>
    <w:p>
      <w:pPr>
        <w:pStyle w:val="Heading1"/>
      </w:pPr>
      <w:r>
        <w:t xml:space="preserve"># Uso ético e autorizado</w:t>
      </w:r>
    </w:p>
    <w:p>
      <w:pPr>
        <w:pStyle w:val="FirstParagraph"/>
      </w:pPr>
      <w:r>
        <w:t xml:space="preserve">Use ferramentas técnicas apenas em sistemas, aplicativos, redes, contas em nuvem e dados que você possui ou estão especificamente autorizados por escrito para avaliar. Use dados ficcionais, sintéticos ou aprovados em treinamento. A habilidade técnica não cria permissão.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rPr>
          <w:iCs/>
          <w:i/>
        </w:rPr>
        <w:t xml:space="preserve">Uma introdução acolhedora à gestão prática dos riscos de cibersegurança.</w:t>
      </w:r>
    </w:p>
    <w:p>
      <w:pPr>
        <w:pStyle w:val="BodyText"/>
      </w:pPr>
      <w:r>
        <w:t xml:space="preserve">O trabalho de segurança cibernética pode parecer uma coleção de produtos, alertas, políticas e tarefas técnicas. O NIST Cybersecurity Framework dá a essas atividades uma linguagem compartilhada. Ajuda os líderes a explicar o que os resultados importam, ajuda os gestores a definir prioridades e ajuda os profissionais a conectar o trabalho diário ao risco organizacional.</w:t>
      </w:r>
    </w:p>
    <w:p>
      <w:pPr>
        <w:pStyle w:val="BodyText"/>
      </w:pPr>
      <w:r>
        <w:t xml:space="preserve">CSF 2.0 é deliberadamente flexível. Ele não diz a todas as organizações para comprar a mesma ferramenta, implementar o mesmo controle, ou alcançar o mesmo nível. Descreve os resultados. Um hospital, fabricante, escola, banco, startup, agência governamental e sem fins lucrativos podem usar o mesmo núcleo ao escolher diferentes prioridades e implementações.</w:t>
      </w:r>
    </w:p>
    <w:p>
      <w:pPr>
        <w:pStyle w:val="BodyText"/>
      </w:pPr>
      <w:r>
        <w:t xml:space="preserve">Este manual segue uma metodologia-primeira abordagem. Uma planilha de framework é útil somente quando o escopo é preciso. Um painel verde é útil apenas quando as evidências são confiáveis. Um resultado do scanner é útil apenas quando alguém valida, prioriza, corrige e reteste. Os gestores continuam a ser responsáveis por decisões; os analistas melhoram essas decisões reunindo fatos completos e comunicando-se claramente.</w:t>
      </w:r>
    </w:p>
    <w:p>
      <w:pPr>
        <w:pStyle w:val="BodyText"/>
      </w:pPr>
      <w:r>
        <w:t xml:space="preserve">Como usar este manual</w:t>
      </w:r>
    </w:p>
    <w:p>
      <w:pPr>
        <w:pStyle w:val="BodyText"/>
      </w:pPr>
      <w:r>
        <w:t xml:space="preserve">Os gestores devem começar pelos capítulos 1–3, 10–17 e pelos modelos do capítulo 22.</w:t>
      </w:r>
    </w:p>
    <w:p>
      <w:pPr>
        <w:pStyle w:val="BodyText"/>
      </w:pPr>
      <w:r>
        <w:t xml:space="preserve">Os analistas júnior devem estudar os seis capítulos de Função, método de verificação, ferramentas, laboratório e preparação de entrevista.</w:t>
      </w:r>
    </w:p>
    <w:p>
      <w:pPr>
        <w:pStyle w:val="BodyText"/>
      </w:pPr>
      <w:r>
        <w:t xml:space="preserve">As equipes técnicas devem mapear os achados para ativos, riscos, resultados CSF, implementação, proprietários, evidências e medidas corretivas.</w:t>
      </w:r>
    </w:p>
    <w:p>
      <w:pPr>
        <w:pStyle w:val="BodyText"/>
      </w:pPr>
      <w:r>
        <w:t xml:space="preserve">As equipes legais, de privacidade, de segurança, de tecnologia operacional e de negócios devem rever as decisões que afetam suas responsabilidades.</w:t>
      </w:r>
    </w:p>
    <w:p>
      <w:pPr>
        <w:pStyle w:val="BodyText"/>
      </w:pPr>
      <w:r>
        <w:t xml:space="preserve">*Conteúdo verdadeiro da palavra:** O guia de capítulo abaixo contém números de página específicos da edição após a renderização final. O documento também contém um campo TOC nativo do Word. Depois de editar, clique com o botão direito e selecione Atualizar Campo e, em seguida, Atualizar tabela inteira.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pStyle w:val="BodyText"/>
      </w:pPr>
      <w:r>
        <w:t xml:space="preserve">Sumário</w:t>
      </w:r>
    </w:p>
    <w:p>
      <w:pPr>
        <w:pStyle w:val="BodyText"/>
      </w:pPr>
      <w:hyperlink w:anchor="publication-and-use-notice">
        <w:r>
          <w:rPr>
            <w:rStyle w:val="Hyperlink"/>
          </w:rPr>
          <w:t xml:space="preserve">Comunicação de publicação e utilização [2](#publication-and-use-notice)</w:t>
        </w:r>
      </w:hyperlink>
    </w:p>
    <w:p>
      <w:pPr>
        <w:pStyle w:val="BodyText"/>
      </w:pPr>
      <w:hyperlink w:anchor="educational-notice">
        <w:r>
          <w:rPr>
            <w:rStyle w:val="Hyperlink"/>
          </w:rPr>
          <w:t xml:space="preserve">Comunicação educativa [2](#educational-notice)</w:t>
        </w:r>
      </w:hyperlink>
    </w:p>
    <w:p>
      <w:pPr>
        <w:pStyle w:val="BodyText"/>
      </w:pPr>
      <w:hyperlink w:anchor="ethical-and-authorized-use">
        <w:r>
          <w:rPr>
            <w:rStyle w:val="Hyperlink"/>
          </w:rPr>
          <w:t xml:space="preserve">Utilização ética e autorizada [2](#ethical-and-authorized-use)</w:t>
        </w:r>
      </w:hyperlink>
    </w:p>
    <w:p>
      <w:pPr>
        <w:pStyle w:val="BodyText"/>
      </w:pPr>
      <w:hyperlink w:anchor="preface">
        <w:r>
          <w:rPr>
            <w:rStyle w:val="Hyperlink"/>
          </w:rPr>
          <w:t xml:space="preserve">Prefácio [3](#preface)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[4](#how-to-use-this-manual)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[4](#table-of-contents)</w:t>
        </w:r>
      </w:hyperlink>
    </w:p>
    <w:p>
      <w:pPr>
        <w:pStyle w:val="BodyText"/>
      </w:pPr>
      <w:hyperlink w:anchor="nist-csf-2.0-foundations">
        <w:r>
          <w:rPr>
            <w:rStyle w:val="Hyperlink"/>
          </w:rPr>
          <w:t xml:space="preserve">1. NIST CSF 2.0 Fundações [9](#nist-csf-2.0-foundations)</w:t>
        </w:r>
      </w:hyperlink>
    </w:p>
    <w:p>
      <w:pPr>
        <w:pStyle w:val="BodyText"/>
      </w:pPr>
      <w:hyperlink w:anchor="what-csf-2.0-is">
        <w:r>
          <w:rPr>
            <w:rStyle w:val="Hyperlink"/>
          </w:rPr>
          <w:t xml:space="preserve">1.1 O que é CSF 2.0 [9](#what-csf-2.0-is)</w:t>
        </w:r>
      </w:hyperlink>
    </w:p>
    <w:p>
      <w:pPr>
        <w:pStyle w:val="BodyText"/>
      </w:pPr>
      <w:hyperlink w:anchor="what-changed-from-csf-1.1">
        <w:r>
          <w:rPr>
            <w:rStyle w:val="Hyperlink"/>
          </w:rPr>
          <w:t xml:space="preserve">1.2 O que mudou com CSF 1.1 [9](#what-changed-from-csf-1.1)</w:t>
        </w:r>
      </w:hyperlink>
    </w:p>
    <w:p>
      <w:pPr>
        <w:pStyle w:val="BodyText"/>
      </w:pPr>
      <w:hyperlink w:anchor="what-csf-2.0-is-not">
        <w:r>
          <w:rPr>
            <w:rStyle w:val="Hyperlink"/>
          </w:rPr>
          <w:t xml:space="preserve">1.3 O que CSF 2.0 não é [9](#what-csf-2.0-is-not)</w:t>
        </w:r>
      </w:hyperlink>
    </w:p>
    <w:p>
      <w:pPr>
        <w:pStyle w:val="BodyText"/>
      </w:pPr>
      <w:hyperlink w:anchor="Xb1e465cb7f877a0783bcef82b82ec4363298ef5">
        <w:r>
          <w:rPr>
            <w:rStyle w:val="Hyperlink"/>
          </w:rPr>
          <w:t xml:space="preserve">2. Núcleo, perfis, níveis e recursos de apoio [11](#core-profiles-tiers-and-supporting-resources)</w:t>
        </w:r>
      </w:hyperlink>
    </w:p>
    <w:p>
      <w:pPr>
        <w:pStyle w:val="BodyText"/>
      </w:pPr>
      <w:hyperlink w:anchor="practical-implementation-roadmap">
        <w:r>
          <w:rPr>
            <w:rStyle w:val="Hyperlink"/>
          </w:rPr>
          <w:t xml:space="preserve">3. Roteiro de Implementação Prática [12](#practical-implementation-roadmap)</w:t>
        </w:r>
      </w:hyperlink>
    </w:p>
    <w:p>
      <w:pPr>
        <w:pStyle w:val="BodyText"/>
      </w:pPr>
      <w:hyperlink w:anchor="govern-function">
        <w:r>
          <w:rPr>
            <w:rStyle w:val="Hyperlink"/>
          </w:rPr>
          <w:t xml:space="preserve">4. Função do Governo [13](#govern-function)</w:t>
        </w:r>
      </w:hyperlink>
    </w:p>
    <w:p>
      <w:pPr>
        <w:pStyle w:val="BodyText"/>
      </w:pPr>
      <w:hyperlink w:anchor="organizational-context-gv.oc">
        <w:r>
          <w:rPr>
            <w:rStyle w:val="Hyperlink"/>
          </w:rPr>
          <w:t xml:space="preserve">Contexto organizacional (GV.OC) [13](#organizational-context-gv.oc)</w:t>
        </w:r>
      </w:hyperlink>
    </w:p>
    <w:p>
      <w:pPr>
        <w:pStyle w:val="BodyText"/>
      </w:pPr>
      <w:hyperlink w:anchor="risk-management-strategy-gv.rm">
        <w:r>
          <w:rPr>
            <w:rStyle w:val="Hyperlink"/>
          </w:rPr>
          <w:t xml:space="preserve">Estratégia de gestão do risco (GV.RM) [13](#risk-management-strategy-gv.rm)</w:t>
        </w:r>
      </w:hyperlink>
    </w:p>
    <w:p>
      <w:pPr>
        <w:pStyle w:val="BodyText"/>
      </w:pPr>
      <w:hyperlink w:anchor="Xe17dd260425e60af9ee9e6615040e5d989071a8">
        <w:r>
          <w:rPr>
            <w:rStyle w:val="Hyperlink"/>
          </w:rPr>
          <w:t xml:space="preserve">Roles, Responsabilidades e Autoridades (GV.RR) [14](#roles-responsibilities-and-authorities-gv.rr)</w:t>
        </w:r>
      </w:hyperlink>
    </w:p>
    <w:p>
      <w:pPr>
        <w:pStyle w:val="BodyText"/>
      </w:pPr>
      <w:hyperlink w:anchor="policy-gv.po">
        <w:r>
          <w:rPr>
            <w:rStyle w:val="Hyperlink"/>
          </w:rPr>
          <w:t xml:space="preserve">Política (GV.PO) [14](#policy-gv.po)</w:t>
        </w:r>
      </w:hyperlink>
    </w:p>
    <w:p>
      <w:pPr>
        <w:pStyle w:val="BodyText"/>
      </w:pPr>
      <w:hyperlink w:anchor="oversight-gv.ov">
        <w:r>
          <w:rPr>
            <w:rStyle w:val="Hyperlink"/>
          </w:rPr>
          <w:t xml:space="preserve">Oversight (GV.OV) [14](#oversight-gv.ov)</w:t>
        </w:r>
      </w:hyperlink>
    </w:p>
    <w:p>
      <w:pPr>
        <w:pStyle w:val="BodyText"/>
      </w:pPr>
      <w:hyperlink w:anchor="Xc68eb2e698529c7f74799b986df866a06d0e82d">
        <w:r>
          <w:rPr>
            <w:rStyle w:val="Hyperlink"/>
          </w:rPr>
          <w:t xml:space="preserve">Gestão do risco da cadeia de abastecimento de cibersegurança (GV.SC) [15](#cybersecurity-supply-chain-risk-management-gv.sc)</w:t>
        </w:r>
      </w:hyperlink>
    </w:p>
    <w:p>
      <w:pPr>
        <w:pStyle w:val="BodyText"/>
      </w:pPr>
      <w:hyperlink w:anchor="identify-function">
        <w:r>
          <w:rPr>
            <w:rStyle w:val="Hyperlink"/>
          </w:rPr>
          <w:t xml:space="preserve">5. Função IDENTIFY [16](#identify-function)</w:t>
        </w:r>
      </w:hyperlink>
    </w:p>
    <w:p>
      <w:pPr>
        <w:pStyle w:val="BodyText"/>
      </w:pPr>
      <w:hyperlink w:anchor="asset-management-id.am">
        <w:r>
          <w:rPr>
            <w:rStyle w:val="Hyperlink"/>
          </w:rPr>
          <w:t xml:space="preserve">Gestão de ativos (ID.AM) [16](#asset-management-id.am)</w:t>
        </w:r>
      </w:hyperlink>
    </w:p>
    <w:p>
      <w:pPr>
        <w:pStyle w:val="BodyText"/>
      </w:pPr>
      <w:hyperlink w:anchor="risk-assessment-id.ra">
        <w:r>
          <w:rPr>
            <w:rStyle w:val="Hyperlink"/>
          </w:rPr>
          <w:t xml:space="preserve">Avaliação do risco (ID.RA) [16](#risk-assessment-id.ra)</w:t>
        </w:r>
      </w:hyperlink>
    </w:p>
    <w:p>
      <w:pPr>
        <w:pStyle w:val="BodyText"/>
      </w:pPr>
      <w:hyperlink w:anchor="improvement-id.im">
        <w:r>
          <w:rPr>
            <w:rStyle w:val="Hyperlink"/>
          </w:rPr>
          <w:t xml:space="preserve">Melhoramento (ID.IM) [17](#improvement-id.im)</w:t>
        </w:r>
      </w:hyperlink>
    </w:p>
    <w:p>
      <w:pPr>
        <w:pStyle w:val="BodyText"/>
      </w:pPr>
      <w:hyperlink w:anchor="protect-function">
        <w:r>
          <w:rPr>
            <w:rStyle w:val="Hyperlink"/>
          </w:rPr>
          <w:t xml:space="preserve">6. Função de proteção [18](#protect-function)</w:t>
        </w:r>
      </w:hyperlink>
    </w:p>
    <w:p>
      <w:pPr>
        <w:pStyle w:val="BodyText"/>
      </w:pPr>
      <w:hyperlink w:anchor="Xb9eba731fe338d3cf3988bbb6e1399a73a1751c">
        <w:r>
          <w:rPr>
            <w:rStyle w:val="Hyperlink"/>
          </w:rPr>
          <w:t xml:space="preserve">Gestão de identidade, autenticação e controle de acesso (PR.AA) [18](#identity-management-authentication-and-access-control-pr.aa)</w:t>
        </w:r>
      </w:hyperlink>
    </w:p>
    <w:p>
      <w:pPr>
        <w:pStyle w:val="BodyText"/>
      </w:pPr>
      <w:hyperlink w:anchor="awareness-and-training-pr.at">
        <w:r>
          <w:rPr>
            <w:rStyle w:val="Hyperlink"/>
          </w:rPr>
          <w:t xml:space="preserve">Consciência e formação (PR.AT) [18](#awareness-and-training-pr.at)</w:t>
        </w:r>
      </w:hyperlink>
    </w:p>
    <w:p>
      <w:pPr>
        <w:pStyle w:val="BodyText"/>
      </w:pPr>
      <w:hyperlink w:anchor="data-security-pr.ds">
        <w:r>
          <w:rPr>
            <w:rStyle w:val="Hyperlink"/>
          </w:rPr>
          <w:t xml:space="preserve">Segurança de dados (PR.DS) [18](#data-security-pr.ds)</w:t>
        </w:r>
      </w:hyperlink>
    </w:p>
    <w:p>
      <w:pPr>
        <w:pStyle w:val="BodyText"/>
      </w:pPr>
      <w:hyperlink w:anchor="platform-security-pr.ps">
        <w:r>
          <w:rPr>
            <w:rStyle w:val="Hyperlink"/>
          </w:rPr>
          <w:t xml:space="preserve">Segurança da plataforma (PR.PS) [19](#platform-security-pr.ps)</w:t>
        </w:r>
      </w:hyperlink>
    </w:p>
    <w:p>
      <w:pPr>
        <w:pStyle w:val="BodyText"/>
      </w:pPr>
      <w:hyperlink w:anchor="Xbc69ba418f3149be27b0b766a443f18b55da042">
        <w:r>
          <w:rPr>
            <w:rStyle w:val="Hyperlink"/>
          </w:rPr>
          <w:t xml:space="preserve">Resistência à infraestrutura tecnológica (PR.IR) [19](#technology-infrastructure-resilience-pr.ir)</w:t>
        </w:r>
      </w:hyperlink>
    </w:p>
    <w:p>
      <w:pPr>
        <w:pStyle w:val="BodyText"/>
      </w:pPr>
      <w:hyperlink w:anchor="detect-function">
        <w:r>
          <w:rPr>
            <w:rStyle w:val="Hyperlink"/>
          </w:rPr>
          <w:t xml:space="preserve">7. Função DETECT [21](#detect-function)</w:t>
        </w:r>
      </w:hyperlink>
    </w:p>
    <w:p>
      <w:pPr>
        <w:pStyle w:val="BodyText"/>
      </w:pPr>
      <w:hyperlink w:anchor="continuous-monitoring-de.cm">
        <w:r>
          <w:rPr>
            <w:rStyle w:val="Hyperlink"/>
          </w:rPr>
          <w:t xml:space="preserve">Monitorização contínua (DE.CM) [21](#continuous-monitoring-de.cm)</w:t>
        </w:r>
      </w:hyperlink>
    </w:p>
    <w:p>
      <w:pPr>
        <w:pStyle w:val="BodyText"/>
      </w:pPr>
      <w:hyperlink w:anchor="adverse-event-analysis-de.ae">
        <w:r>
          <w:rPr>
            <w:rStyle w:val="Hyperlink"/>
          </w:rPr>
          <w:t xml:space="preserve">Análise adversa dos acontecimentos (DE.AE) [21](#adverse-event-analysis-de.ae)</w:t>
        </w:r>
      </w:hyperlink>
    </w:p>
    <w:p>
      <w:pPr>
        <w:pStyle w:val="BodyText"/>
      </w:pPr>
      <w:hyperlink w:anchor="respond-function">
        <w:r>
          <w:rPr>
            <w:rStyle w:val="Hyperlink"/>
          </w:rPr>
          <w:t xml:space="preserve">8. Função de resposta [23](#respond-function)</w:t>
        </w:r>
      </w:hyperlink>
    </w:p>
    <w:p>
      <w:pPr>
        <w:pStyle w:val="BodyText"/>
      </w:pPr>
      <w:hyperlink w:anchor="incident-management-rs.ma">
        <w:r>
          <w:rPr>
            <w:rStyle w:val="Hyperlink"/>
          </w:rPr>
          <w:t xml:space="preserve">Gestão de incidentes (RS.MA) [23](#incident-management-rs.ma)</w:t>
        </w:r>
      </w:hyperlink>
    </w:p>
    <w:p>
      <w:pPr>
        <w:pStyle w:val="BodyText"/>
      </w:pPr>
      <w:hyperlink w:anchor="incident-analysis-rs.an">
        <w:r>
          <w:rPr>
            <w:rStyle w:val="Hyperlink"/>
          </w:rPr>
          <w:t xml:space="preserve">Análise Incidental (RS.AN) [23](#incident-analysis-rs.an)</w:t>
        </w:r>
      </w:hyperlink>
    </w:p>
    <w:p>
      <w:pPr>
        <w:pStyle w:val="BodyText"/>
      </w:pPr>
      <w:hyperlink w:anchor="Xeeb46bf582eb04c8415d0ea9c1711676e9e1ea0">
        <w:r>
          <w:rPr>
            <w:rStyle w:val="Hyperlink"/>
          </w:rPr>
          <w:t xml:space="preserve">Reportagem e comunicação de resposta incidente (RS.CO) [24](#incident-response-reporting-and-communication-rs.co)</w:t>
        </w:r>
      </w:hyperlink>
    </w:p>
    <w:p>
      <w:pPr>
        <w:pStyle w:val="BodyText"/>
      </w:pPr>
      <w:hyperlink w:anchor="incident-mitigation-rs.mi">
        <w:r>
          <w:rPr>
            <w:rStyle w:val="Hyperlink"/>
          </w:rPr>
          <w:t xml:space="preserve">Mitigação incidente (RS.MI) [24](#incident-mitigation-rs.mi)</w:t>
        </w:r>
      </w:hyperlink>
    </w:p>
    <w:p>
      <w:pPr>
        <w:pStyle w:val="BodyText"/>
      </w:pPr>
      <w:hyperlink w:anchor="recover-function">
        <w:r>
          <w:rPr>
            <w:rStyle w:val="Hyperlink"/>
          </w:rPr>
          <w:t xml:space="preserve">9. Função de recuperação [25](#recover-function)</w:t>
        </w:r>
      </w:hyperlink>
    </w:p>
    <w:p>
      <w:pPr>
        <w:pStyle w:val="BodyText"/>
      </w:pPr>
      <w:hyperlink w:anchor="incident-recovery-plan-execution-rc.rp">
        <w:r>
          <w:rPr>
            <w:rStyle w:val="Hyperlink"/>
          </w:rPr>
          <w:t xml:space="preserve">Execução do plano de recuperação de incidentes (RC.RP) [25](#incident-recovery-plan-execution-rc.rp)</w:t>
        </w:r>
      </w:hyperlink>
    </w:p>
    <w:p>
      <w:pPr>
        <w:pStyle w:val="BodyText"/>
      </w:pPr>
      <w:hyperlink w:anchor="incident-recovery-communication-rc.co">
        <w:r>
          <w:rPr>
            <w:rStyle w:val="Hyperlink"/>
          </w:rPr>
          <w:t xml:space="preserve">Comunicação relativa à recuperação de incidentes (RC.CO) [25](#incident-recovery-communication-rc.co)</w:t>
        </w:r>
      </w:hyperlink>
    </w:p>
    <w:p>
      <w:pPr>
        <w:pStyle w:val="BodyText"/>
      </w:pPr>
      <w:hyperlink w:anchor="organizational-profiles">
        <w:r>
          <w:rPr>
            <w:rStyle w:val="Hyperlink"/>
          </w:rPr>
          <w:t xml:space="preserve">10. Perfis organizacionais [26](#organizational-profiles)</w:t>
        </w:r>
      </w:hyperlink>
    </w:p>
    <w:p>
      <w:pPr>
        <w:pStyle w:val="BodyText"/>
      </w:pPr>
      <w:hyperlink w:anchor="profile-scope-statement">
        <w:r>
          <w:rPr>
            <w:rStyle w:val="Hyperlink"/>
          </w:rPr>
          <w:t xml:space="preserve">10.1 Declaração de âmbito do perfil [26](#profile-scope-statement)</w:t>
        </w:r>
      </w:hyperlink>
    </w:p>
    <w:p>
      <w:pPr>
        <w:pStyle w:val="BodyText"/>
      </w:pPr>
      <w:hyperlink w:anchor="outcome-status">
        <w:r>
          <w:rPr>
            <w:rStyle w:val="Hyperlink"/>
          </w:rPr>
          <w:t xml:space="preserve">10.2 Estado do resultado [26](#outcome-status)</w:t>
        </w:r>
      </w:hyperlink>
    </w:p>
    <w:p>
      <w:pPr>
        <w:pStyle w:val="BodyText"/>
      </w:pPr>
      <w:hyperlink w:anchor="gap-prioritization">
        <w:r>
          <w:rPr>
            <w:rStyle w:val="Hyperlink"/>
          </w:rPr>
          <w:t xml:space="preserve">27</w:t>
        </w:r>
      </w:hyperlink>
      <w:r>
        <w:t xml:space="preserve">](#gap-prioritization)</w:t>
      </w:r>
    </w:p>
    <w:p>
      <w:pPr>
        <w:pStyle w:val="BodyText"/>
      </w:pPr>
      <w:hyperlink w:anchor="csf-tiers">
        <w:r>
          <w:rPr>
            <w:rStyle w:val="Hyperlink"/>
          </w:rPr>
          <w:t xml:space="preserve">11. CSF Tiers [28](#csf-tiers)</w:t>
        </w:r>
      </w:hyperlink>
    </w:p>
    <w:p>
      <w:pPr>
        <w:pStyle w:val="BodyText"/>
      </w:pPr>
      <w:hyperlink w:anchor="X4cd244fd26ea3fbfa9d7eadf99b0357d0b020d9">
        <w:r>
          <w:rPr>
            <w:rStyle w:val="Hyperlink"/>
          </w:rPr>
          <w:t xml:space="preserve">12. Risco empresarial, apetite de risco e comunicação [29](#enterprise-risk-risk-appetite-and-communication)</w:t>
        </w:r>
      </w:hyperlink>
    </w:p>
    <w:p>
      <w:pPr>
        <w:pStyle w:val="BodyText"/>
      </w:pPr>
      <w:hyperlink w:anchor="executive-risk-statement">
        <w:r>
          <w:rPr>
            <w:rStyle w:val="Hyperlink"/>
          </w:rPr>
          <w:t xml:space="preserve">12.1 Declaração de risco [29](#executive-risk-statement)</w:t>
        </w:r>
      </w:hyperlink>
    </w:p>
    <w:p>
      <w:pPr>
        <w:pStyle w:val="BodyText"/>
      </w:pPr>
      <w:hyperlink w:anchor="board-level-questions">
        <w:r>
          <w:rPr>
            <w:rStyle w:val="Hyperlink"/>
          </w:rPr>
          <w:t xml:space="preserve">12.2 Perguntas a nível de conselho [29](#board-level-questions)</w:t>
        </w:r>
      </w:hyperlink>
    </w:p>
    <w:p>
      <w:pPr>
        <w:pStyle w:val="BodyText"/>
      </w:pPr>
      <w:hyperlink w:anchor="cybersecurity-supply-chain-risk">
        <w:r>
          <w:rPr>
            <w:rStyle w:val="Hyperlink"/>
          </w:rPr>
          <w:t xml:space="preserve">13. Risco da cadeia de abastecimento de segurança cibernética [30](#cybersecurity-supply-chain-risk)</w:t>
        </w:r>
      </w:hyperlink>
    </w:p>
    <w:p>
      <w:pPr>
        <w:pStyle w:val="BodyText"/>
      </w:pPr>
      <w:hyperlink w:anchor="metrics-evidence-and-reporting">
        <w:r>
          <w:rPr>
            <w:rStyle w:val="Hyperlink"/>
          </w:rPr>
          <w:t xml:space="preserve">14. Métricas, provas e relatórios [31](#metrics-evidence-and-reporting)</w:t>
        </w:r>
      </w:hyperlink>
    </w:p>
    <w:p>
      <w:pPr>
        <w:pStyle w:val="BodyText"/>
      </w:pPr>
      <w:hyperlink w:anchor="evidence-quality">
        <w:r>
          <w:rPr>
            <w:rStyle w:val="Hyperlink"/>
          </w:rPr>
          <w:t xml:space="preserve">14.1 Qualidade dos elementos de prova [31](#evidence-quality)</w:t>
        </w:r>
      </w:hyperlink>
    </w:p>
    <w:p>
      <w:pPr>
        <w:pStyle w:val="BodyText"/>
      </w:pPr>
      <w:hyperlink w:anchor="Xe1f3c3dc12d8f7bbd4bbee7c2da615a55fad9a3">
        <w:r>
          <w:rPr>
            <w:rStyle w:val="Hyperlink"/>
          </w:rPr>
          <w:t xml:space="preserve">15. Ensaios de verificação e controlo da conformidade [32](#compliance-verification-and-control-testing)</w:t>
        </w:r>
      </w:hyperlink>
    </w:p>
    <w:p>
      <w:pPr>
        <w:pStyle w:val="BodyText"/>
      </w:pPr>
      <w:hyperlink w:anchor="practical-verification-tests">
        <w:r>
          <w:rPr>
            <w:rStyle w:val="Hyperlink"/>
          </w:rPr>
          <w:t xml:space="preserve">15.1 Ensaios práticos de verificação [32](#practical-verification-tests)</w:t>
        </w:r>
      </w:hyperlink>
    </w:p>
    <w:p>
      <w:pPr>
        <w:pStyle w:val="BodyText"/>
      </w:pPr>
      <w:hyperlink w:anchor="conclusion-language">
        <w:r>
          <w:rPr>
            <w:rStyle w:val="Hyperlink"/>
          </w:rPr>
          <w:t xml:space="preserve">15.2 Língua de conclusão [33](#conclusion-language)</w:t>
        </w:r>
      </w:hyperlink>
    </w:p>
    <w:p>
      <w:pPr>
        <w:pStyle w:val="BodyText"/>
      </w:pPr>
      <w:hyperlink w:anchor="open-source-tools-for-csf-work">
        <w:r>
          <w:rPr>
            <w:rStyle w:val="Hyperlink"/>
          </w:rPr>
          <w:t xml:space="preserve">16. Ferramentas de código aberto para CSF Work [34](#open-source-tools-for-csf-work)</w:t>
        </w:r>
      </w:hyperlink>
    </w:p>
    <w:p>
      <w:pPr>
        <w:pStyle w:val="BodyText"/>
      </w:pPr>
      <w:hyperlink w:anchor="tool-validation-checklist">
        <w:r>
          <w:rPr>
            <w:rStyle w:val="Hyperlink"/>
          </w:rPr>
          <w:t xml:space="preserve">16.1 Lista de verificação de validação da ferramenta [34](#tool-validation-checklist)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16.2 Assistente CISO [35](#ciso-assistant)</w:t>
        </w:r>
      </w:hyperlink>
    </w:p>
    <w:p>
      <w:pPr>
        <w:pStyle w:val="BodyText"/>
      </w:pPr>
      <w:hyperlink w:anchor="quick-start">
        <w:r>
          <w:rPr>
            <w:rStyle w:val="Hyperlink"/>
          </w:rPr>
          <w:t xml:space="preserve">Início rápido [35](#quick-start)</w:t>
        </w:r>
      </w:hyperlink>
    </w:p>
    <w:p>
      <w:pPr>
        <w:pStyle w:val="BodyText"/>
      </w:pPr>
      <w:hyperlink w:anchor="evidence-and-limitation">
        <w:r>
          <w:rPr>
            <w:rStyle w:val="Hyperlink"/>
          </w:rPr>
          <w:t xml:space="preserve">Evidência e limitação [35](#evidence-and-limitation)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16.3 Wazuh [35](#wazuh)</w:t>
        </w:r>
      </w:hyperlink>
    </w:p>
    <w:p>
      <w:pPr>
        <w:pStyle w:val="BodyText"/>
      </w:pPr>
      <w:hyperlink w:anchor="quick-start-1">
        <w:r>
          <w:rPr>
            <w:rStyle w:val="Hyperlink"/>
          </w:rPr>
          <w:t xml:space="preserve">Início rápido [35](#quick-start-1)</w:t>
        </w:r>
      </w:hyperlink>
    </w:p>
    <w:p>
      <w:pPr>
        <w:pStyle w:val="BodyText"/>
      </w:pPr>
      <w:hyperlink w:anchor="evidence-and-limitation-1">
        <w:r>
          <w:rPr>
            <w:rStyle w:val="Hyperlink"/>
          </w:rPr>
          <w:t xml:space="preserve">Evidência e limitação [35](#evidence-and-limitation-1)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16.4 osquery [35](#osquery)</w:t>
        </w:r>
      </w:hyperlink>
    </w:p>
    <w:p>
      <w:pPr>
        <w:pStyle w:val="BodyText"/>
      </w:pPr>
      <w:hyperlink w:anchor="quick-start-2">
        <w:r>
          <w:rPr>
            <w:rStyle w:val="Hyperlink"/>
          </w:rPr>
          <w:t xml:space="preserve">Início rápido [35](#quick-start-2)</w:t>
        </w:r>
      </w:hyperlink>
    </w:p>
    <w:p>
      <w:pPr>
        <w:pStyle w:val="BodyText"/>
      </w:pPr>
      <w:hyperlink w:anchor="evidence-and-limitation-2">
        <w:r>
          <w:rPr>
            <w:rStyle w:val="Hyperlink"/>
          </w:rPr>
          <w:t xml:space="preserve">Evidência e limitação [36](#evidence-and-limitation-2)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16.5 OpenSCAP [36](#openscap)</w:t>
        </w:r>
      </w:hyperlink>
    </w:p>
    <w:p>
      <w:pPr>
        <w:pStyle w:val="BodyText"/>
      </w:pPr>
      <w:hyperlink w:anchor="quick-start-3">
        <w:r>
          <w:rPr>
            <w:rStyle w:val="Hyperlink"/>
          </w:rPr>
          <w:t xml:space="preserve">Início rápido [36](#quick-start-3)</w:t>
        </w:r>
      </w:hyperlink>
    </w:p>
    <w:p>
      <w:pPr>
        <w:pStyle w:val="BodyText"/>
      </w:pPr>
      <w:hyperlink w:anchor="evidence-and-limitation-3">
        <w:r>
          <w:rPr>
            <w:rStyle w:val="Hyperlink"/>
          </w:rPr>
          <w:t xml:space="preserve">Evidência e limitação [36](#evidence-and-limitation-3)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16.6 Greenbone Community Edition [36](#greenbone-community-edition)</w:t>
        </w:r>
      </w:hyperlink>
    </w:p>
    <w:p>
      <w:pPr>
        <w:pStyle w:val="BodyText"/>
      </w:pPr>
      <w:hyperlink w:anchor="quick-start-4">
        <w:r>
          <w:rPr>
            <w:rStyle w:val="Hyperlink"/>
          </w:rPr>
          <w:t xml:space="preserve">Início rápido [36](#quick-start-4)</w:t>
        </w:r>
      </w:hyperlink>
    </w:p>
    <w:p>
      <w:pPr>
        <w:pStyle w:val="BodyText"/>
      </w:pPr>
      <w:hyperlink w:anchor="evidence-and-limitation-4">
        <w:r>
          <w:rPr>
            <w:rStyle w:val="Hyperlink"/>
          </w:rPr>
          <w:t xml:space="preserve">Evidência e limitação [36](#evidence-and-limitation-4)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16.7 Trivy [36](#trivy)</w:t>
        </w:r>
      </w:hyperlink>
    </w:p>
    <w:p>
      <w:pPr>
        <w:pStyle w:val="BodyText"/>
      </w:pPr>
      <w:hyperlink w:anchor="quick-start-5">
        <w:r>
          <w:rPr>
            <w:rStyle w:val="Hyperlink"/>
          </w:rPr>
          <w:t xml:space="preserve">Início rápido [36](#quick-start-5)</w:t>
        </w:r>
      </w:hyperlink>
    </w:p>
    <w:p>
      <w:pPr>
        <w:pStyle w:val="BodyText"/>
      </w:pPr>
      <w:hyperlink w:anchor="evidence-and-limitation-5">
        <w:r>
          <w:rPr>
            <w:rStyle w:val="Hyperlink"/>
          </w:rPr>
          <w:t xml:space="preserve">Evidência e limitação [37](#evidence-and-limitation-5)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16,8 OWASP ZAP [37](#owasp-zap)</w:t>
        </w:r>
      </w:hyperlink>
    </w:p>
    <w:p>
      <w:pPr>
        <w:pStyle w:val="BodyText"/>
      </w:pPr>
      <w:hyperlink w:anchor="quick-start-6">
        <w:r>
          <w:rPr>
            <w:rStyle w:val="Hyperlink"/>
          </w:rPr>
          <w:t xml:space="preserve">Início rápido [37](#quick-start-6)</w:t>
        </w:r>
      </w:hyperlink>
    </w:p>
    <w:p>
      <w:pPr>
        <w:pStyle w:val="BodyText"/>
      </w:pPr>
      <w:hyperlink w:anchor="evidence-and-limitation-6">
        <w:r>
          <w:rPr>
            <w:rStyle w:val="Hyperlink"/>
          </w:rPr>
          <w:t xml:space="preserve">Evidência e limitação [37](#evidence-and-limitation-6)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16.9 Keycloak [37](#keycloak)</w:t>
        </w:r>
      </w:hyperlink>
    </w:p>
    <w:p>
      <w:pPr>
        <w:pStyle w:val="BodyText"/>
      </w:pPr>
      <w:hyperlink w:anchor="quick-start-7">
        <w:r>
          <w:rPr>
            <w:rStyle w:val="Hyperlink"/>
          </w:rPr>
          <w:t xml:space="preserve">Início rápido [37](#quick-start-7)</w:t>
        </w:r>
      </w:hyperlink>
    </w:p>
    <w:p>
      <w:pPr>
        <w:pStyle w:val="BodyText"/>
      </w:pPr>
      <w:hyperlink w:anchor="evidence-and-limitation-7">
        <w:r>
          <w:rPr>
            <w:rStyle w:val="Hyperlink"/>
          </w:rPr>
          <w:t xml:space="preserve">Evidência e limitação [37](#evidence-and-limitation-7)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16,10 DefectDojo [37](#defectdojo)</w:t>
        </w:r>
      </w:hyperlink>
    </w:p>
    <w:p>
      <w:pPr>
        <w:pStyle w:val="BodyText"/>
      </w:pPr>
      <w:hyperlink w:anchor="quick-start-8">
        <w:r>
          <w:rPr>
            <w:rStyle w:val="Hyperlink"/>
          </w:rPr>
          <w:t xml:space="preserve">Início rápido [37](#quick-start-8)</w:t>
        </w:r>
      </w:hyperlink>
    </w:p>
    <w:p>
      <w:pPr>
        <w:pStyle w:val="BodyText"/>
      </w:pPr>
      <w:hyperlink w:anchor="evidence-and-limitation-8">
        <w:r>
          <w:rPr>
            <w:rStyle w:val="Hyperlink"/>
          </w:rPr>
          <w:t xml:space="preserve">Evidência e limitação [37](#evidence-and-limitation-8)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16.11 Velociraptor [38](#velociraptor)</w:t>
        </w:r>
      </w:hyperlink>
    </w:p>
    <w:p>
      <w:pPr>
        <w:pStyle w:val="BodyText"/>
      </w:pPr>
      <w:hyperlink w:anchor="quick-start-9">
        <w:r>
          <w:rPr>
            <w:rStyle w:val="Hyperlink"/>
          </w:rPr>
          <w:t xml:space="preserve">Início rápido [38](#quick-start-9)</w:t>
        </w:r>
      </w:hyperlink>
    </w:p>
    <w:p>
      <w:pPr>
        <w:pStyle w:val="BodyText"/>
      </w:pPr>
      <w:hyperlink w:anchor="evidence-and-limitation-9">
        <w:r>
          <w:rPr>
            <w:rStyle w:val="Hyperlink"/>
          </w:rPr>
          <w:t xml:space="preserve">Evidência e limitação [38](#evidence-and-limitation-9)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16.12 Agente de política aberta [38](#open-policy-agent)</w:t>
        </w:r>
      </w:hyperlink>
    </w:p>
    <w:p>
      <w:pPr>
        <w:pStyle w:val="BodyText"/>
      </w:pPr>
      <w:hyperlink w:anchor="quick-start-10">
        <w:r>
          <w:rPr>
            <w:rStyle w:val="Hyperlink"/>
          </w:rPr>
          <w:t xml:space="preserve">Início rápido [38](#quick-start-10)</w:t>
        </w:r>
      </w:hyperlink>
    </w:p>
    <w:p>
      <w:pPr>
        <w:pStyle w:val="BodyText"/>
      </w:pPr>
      <w:hyperlink w:anchor="evidence-and-limitation-10">
        <w:r>
          <w:rPr>
            <w:rStyle w:val="Hyperlink"/>
          </w:rPr>
          <w:t xml:space="preserve">Evidência e limitação [38](#evidence-and-limitation-10)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16.13 OpenSearch [38](#opensearch)</w:t>
        </w:r>
      </w:hyperlink>
    </w:p>
    <w:p>
      <w:pPr>
        <w:pStyle w:val="BodyText"/>
      </w:pPr>
      <w:hyperlink w:anchor="quick-start-11">
        <w:r>
          <w:rPr>
            <w:rStyle w:val="Hyperlink"/>
          </w:rPr>
          <w:t xml:space="preserve">Início rápido [38](#quick-start-11)</w:t>
        </w:r>
      </w:hyperlink>
    </w:p>
    <w:p>
      <w:pPr>
        <w:pStyle w:val="BodyText"/>
      </w:pPr>
      <w:hyperlink w:anchor="evidence-and-limitation-11">
        <w:r>
          <w:rPr>
            <w:rStyle w:val="Hyperlink"/>
          </w:rPr>
          <w:t xml:space="preserve">Evidência e limitação [38](#evidence-and-limitation-11)</w:t>
        </w:r>
      </w:hyperlink>
    </w:p>
    <w:p>
      <w:pPr>
        <w:pStyle w:val="BodyText"/>
      </w:pPr>
      <w:hyperlink w:anchor="official-nist-tools">
        <w:r>
          <w:rPr>
            <w:rStyle w:val="Hyperlink"/>
          </w:rPr>
          <w:t xml:space="preserve">16.14 Ferramentas NIST oficiais [38](#official-nist-tools)</w:t>
        </w:r>
      </w:hyperlink>
    </w:p>
    <w:p>
      <w:pPr>
        <w:pStyle w:val="BodyText"/>
      </w:pPr>
      <w:hyperlink w:anchor="managers-csf-playbook">
        <w:r>
          <w:rPr>
            <w:rStyle w:val="Hyperlink"/>
          </w:rPr>
          <w:t xml:space="preserve">17. Playbook CSF do gestor [40](#managers-csf-playbook)</w:t>
        </w:r>
      </w:hyperlink>
    </w:p>
    <w:p>
      <w:pPr>
        <w:pStyle w:val="BodyText"/>
      </w:pPr>
      <w:hyperlink w:anchor="monthly-questions">
        <w:r>
          <w:rPr>
            <w:rStyle w:val="Hyperlink"/>
          </w:rPr>
          <w:t xml:space="preserve">17.1 Questões mensais [40](#monthly-questions)</w:t>
        </w:r>
      </w:hyperlink>
    </w:p>
    <w:p>
      <w:pPr>
        <w:pStyle w:val="BodyText"/>
      </w:pPr>
      <w:hyperlink w:anchor="dashboard">
        <w:r>
          <w:rPr>
            <w:rStyle w:val="Hyperlink"/>
          </w:rPr>
          <w:t xml:space="preserve">17.2 Painel [40](#dashboard)</w:t>
        </w:r>
      </w:hyperlink>
    </w:p>
    <w:p>
      <w:pPr>
        <w:pStyle w:val="BodyText"/>
      </w:pPr>
      <w:hyperlink w:anchor="common-mistakes">
        <w:r>
          <w:rPr>
            <w:rStyle w:val="Hyperlink"/>
          </w:rPr>
          <w:t xml:space="preserve">17.3 Erros comuns [40](#common-mistakes)</w:t>
        </w:r>
      </w:hyperlink>
    </w:p>
    <w:p>
      <w:pPr>
        <w:pStyle w:val="BodyText"/>
      </w:pPr>
      <w:hyperlink w:anchor="from-beginner-to-junior-analyst">
        <w:r>
          <w:rPr>
            <w:rStyle w:val="Hyperlink"/>
          </w:rPr>
          <w:t xml:space="preserve">18. De Iniciante a Analista Júnior [41](#from-beginner-to-junior-analyst)</w:t>
        </w:r>
      </w:hyperlink>
    </w:p>
    <w:p>
      <w:pPr>
        <w:pStyle w:val="BodyText"/>
      </w:pPr>
      <w:hyperlink w:anchor="entry-level-roles">
        <w:r>
          <w:rPr>
            <w:rStyle w:val="Hyperlink"/>
          </w:rPr>
          <w:t xml:space="preserve">18.1 Funções de nível de entrada [41](#entry-level-roles)</w:t>
        </w:r>
      </w:hyperlink>
    </w:p>
    <w:p>
      <w:pPr>
        <w:pStyle w:val="BodyText"/>
      </w:pPr>
      <w:hyperlink w:anchor="work-a-junior-analyst-may-perform">
        <w:r>
          <w:rPr>
            <w:rStyle w:val="Hyperlink"/>
          </w:rPr>
          <w:t xml:space="preserve">18.2 Trabalhar um analista júnior pode executar [41](#work-a-junior-analyst-may-perform)</w:t>
        </w:r>
      </w:hyperlink>
    </w:p>
    <w:p>
      <w:pPr>
        <w:pStyle w:val="BodyText"/>
      </w:pPr>
      <w:hyperlink w:anchor="portfolio-proof">
        <w:r>
          <w:rPr>
            <w:rStyle w:val="Hyperlink"/>
          </w:rPr>
          <w:t xml:space="preserve">18.3 Prova de carteira [42](#portfolio-proof)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19. Laboratório Fictício e Portfólio [43](#fictional-laboratory-and-portfolio)</w:t>
        </w:r>
      </w:hyperlink>
    </w:p>
    <w:p>
      <w:pPr>
        <w:pStyle w:val="BodyText"/>
      </w:pPr>
      <w:hyperlink w:anchor="project-1-scope-and-context">
        <w:r>
          <w:rPr>
            <w:rStyle w:val="Hyperlink"/>
          </w:rPr>
          <w:t xml:space="preserve">Projecto 1 — Âmbito e contexto [43](#project-1-scope-and-context)</w:t>
        </w:r>
      </w:hyperlink>
    </w:p>
    <w:p>
      <w:pPr>
        <w:pStyle w:val="BodyText"/>
      </w:pPr>
      <w:hyperlink w:anchor="project-2-asset-and-data-map">
        <w:r>
          <w:rPr>
            <w:rStyle w:val="Hyperlink"/>
          </w:rPr>
          <w:t xml:space="preserve">Projeto 2 — Ativos e mapa de dados [43](#project-2-asset-and-data-map)</w:t>
        </w:r>
      </w:hyperlink>
    </w:p>
    <w:p>
      <w:pPr>
        <w:pStyle w:val="BodyText"/>
      </w:pPr>
      <w:hyperlink w:anchor="project-3-risk">
        <w:r>
          <w:rPr>
            <w:rStyle w:val="Hyperlink"/>
          </w:rPr>
          <w:t xml:space="preserve">Projeto 3 — Risco [43](#project-3-risk)</w:t>
        </w:r>
      </w:hyperlink>
    </w:p>
    <w:p>
      <w:pPr>
        <w:pStyle w:val="BodyText"/>
      </w:pPr>
      <w:hyperlink w:anchor="project-4-profiles">
        <w:r>
          <w:rPr>
            <w:rStyle w:val="Hyperlink"/>
          </w:rPr>
          <w:t xml:space="preserve">Projeto 4 — Perfis [43](#project-4-profiles)</w:t>
        </w:r>
      </w:hyperlink>
    </w:p>
    <w:p>
      <w:pPr>
        <w:pStyle w:val="BodyText"/>
      </w:pPr>
      <w:hyperlink w:anchor="project-5-controls-and-tests">
        <w:r>
          <w:rPr>
            <w:rStyle w:val="Hyperlink"/>
          </w:rPr>
          <w:t xml:space="preserve">Projeto 5 — Controlos e testes [43](#project-5-controls-and-tests)</w:t>
        </w:r>
      </w:hyperlink>
    </w:p>
    <w:p>
      <w:pPr>
        <w:pStyle w:val="BodyText"/>
      </w:pPr>
      <w:hyperlink w:anchor="project-6-incident">
        <w:r>
          <w:rPr>
            <w:rStyle w:val="Hyperlink"/>
          </w:rPr>
          <w:t xml:space="preserve">Projeto 6 — Incidente [43](#project-6-incident)</w:t>
        </w:r>
      </w:hyperlink>
    </w:p>
    <w:p>
      <w:pPr>
        <w:pStyle w:val="BodyText"/>
      </w:pPr>
      <w:hyperlink w:anchor="project-7-tools">
        <w:r>
          <w:rPr>
            <w:rStyle w:val="Hyperlink"/>
          </w:rPr>
          <w:t xml:space="preserve">Projeto 7 — Ferramentas [43](#project-7-tools)</w:t>
        </w:r>
      </w:hyperlink>
    </w:p>
    <w:p>
      <w:pPr>
        <w:pStyle w:val="BodyText"/>
      </w:pPr>
      <w:hyperlink w:anchor="project-8-executive-report">
        <w:r>
          <w:rPr>
            <w:rStyle w:val="Hyperlink"/>
          </w:rPr>
          <w:t xml:space="preserve">Projecto 8 — Relatório executivo [43](#project-8-executive-report)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20. Plano de aprendizagem de trinta dias [44](#thirty-day-learning-plan)</w:t>
        </w:r>
      </w:hyperlink>
    </w:p>
    <w:p>
      <w:pPr>
        <w:pStyle w:val="BodyText"/>
      </w:pPr>
      <w:hyperlink w:anchor="daily-habit">
        <w:r>
          <w:rPr>
            <w:rStyle w:val="Hyperlink"/>
          </w:rPr>
          <w:t xml:space="preserve">20,1 Costumes diários [44](#daily-habit)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21. Preparação da entrevista [45](#interview-preparation)</w:t>
        </w:r>
      </w:hyperlink>
    </w:p>
    <w:p>
      <w:pPr>
        <w:pStyle w:val="BodyText"/>
      </w:pPr>
      <w:hyperlink w:anchor="what-is-nist-csf-2.0">
        <w:r>
          <w:rPr>
            <w:rStyle w:val="Hyperlink"/>
          </w:rPr>
          <w:t xml:space="preserve">O que é NIST CSF 2.0? [45](#what-is-nist-csf-2.0)</w:t>
        </w:r>
      </w:hyperlink>
    </w:p>
    <w:p>
      <w:pPr>
        <w:pStyle w:val="BodyText"/>
      </w:pPr>
      <w:hyperlink w:anchor="what-are-the-six-functions">
        <w:r>
          <w:rPr>
            <w:rStyle w:val="Hyperlink"/>
          </w:rPr>
          <w:t xml:space="preserve">Quais são as seis Funções? [45](#what-are-the-six-functions)</w:t>
        </w:r>
      </w:hyperlink>
    </w:p>
    <w:p>
      <w:pPr>
        <w:pStyle w:val="BodyText"/>
      </w:pPr>
      <w:hyperlink w:anchor="why-was-govern-added">
        <w:r>
          <w:rPr>
            <w:rStyle w:val="Hyperlink"/>
          </w:rPr>
          <w:t xml:space="preserve">Por que foi adicionado o Govern? [45](#why-was-govern-added)</w:t>
        </w:r>
      </w:hyperlink>
    </w:p>
    <w:p>
      <w:pPr>
        <w:pStyle w:val="BodyText"/>
      </w:pPr>
      <w:hyperlink w:anchor="what-is-a-current-profile">
        <w:r>
          <w:rPr>
            <w:rStyle w:val="Hyperlink"/>
          </w:rPr>
          <w:t xml:space="preserve">O que é um perfil atual? [45](#what-is-a-current-profile)</w:t>
        </w:r>
      </w:hyperlink>
    </w:p>
    <w:p>
      <w:pPr>
        <w:pStyle w:val="BodyText"/>
      </w:pPr>
      <w:hyperlink w:anchor="what-is-a-target-profile">
        <w:r>
          <w:rPr>
            <w:rStyle w:val="Hyperlink"/>
          </w:rPr>
          <w:t xml:space="preserve">O que é um perfil alvo? [45](#what-is-a-target-profile)</w:t>
        </w:r>
      </w:hyperlink>
    </w:p>
    <w:p>
      <w:pPr>
        <w:pStyle w:val="BodyText"/>
      </w:pPr>
      <w:hyperlink w:anchor="what-are-tiers">
        <w:r>
          <w:rPr>
            <w:rStyle w:val="Hyperlink"/>
          </w:rPr>
          <w:t xml:space="preserve">O que são níveis? [45](#what-are-tiers)</w:t>
        </w:r>
      </w:hyperlink>
    </w:p>
    <w:p>
      <w:pPr>
        <w:pStyle w:val="BodyText"/>
      </w:pPr>
      <w:hyperlink w:anchor="does-csf-certify-compliance">
        <w:r>
          <w:rPr>
            <w:rStyle w:val="Hyperlink"/>
          </w:rPr>
          <w:t xml:space="preserve">O CSF certifica a conformidade? [45](#does-csf-certify-compliance)</w:t>
        </w:r>
      </w:hyperlink>
    </w:p>
    <w:p>
      <w:pPr>
        <w:pStyle w:val="BodyText"/>
      </w:pPr>
      <w:hyperlink w:anchor="how-do-you-verify-an-outcome">
        <w:r>
          <w:rPr>
            <w:rStyle w:val="Hyperlink"/>
          </w:rPr>
          <w:t xml:space="preserve">Como você verifica um resultado? [45](#how-do-you-verify-an-outcome)</w:t>
        </w:r>
      </w:hyperlink>
    </w:p>
    <w:p>
      <w:pPr>
        <w:pStyle w:val="BodyText"/>
      </w:pPr>
      <w:hyperlink w:anchor="how-should-tools-be-used">
        <w:r>
          <w:rPr>
            <w:rStyle w:val="Hyperlink"/>
          </w:rPr>
          <w:t xml:space="preserve">Como devem ser usadas as ferramentas? [45](#how-should-tools-be-used)</w:t>
        </w:r>
      </w:hyperlink>
    </w:p>
    <w:p>
      <w:pPr>
        <w:pStyle w:val="BodyText"/>
      </w:pPr>
      <w:hyperlink w:anchor="how-do-you-prioritize-gaps">
        <w:r>
          <w:rPr>
            <w:rStyle w:val="Hyperlink"/>
          </w:rPr>
          <w:t xml:space="preserve">Como você prioriza lacunas? [46](#how-do-you-prioritize-gaps)</w:t>
        </w:r>
      </w:hyperlink>
    </w:p>
    <w:p>
      <w:pPr>
        <w:pStyle w:val="BodyText"/>
      </w:pPr>
      <w:hyperlink w:anchor="templates-and-checklists">
        <w:r>
          <w:rPr>
            <w:rStyle w:val="Hyperlink"/>
          </w:rPr>
          <w:t xml:space="preserve">22. Modelos e listas de verificação [47](#templates-and-checklists)</w:t>
        </w:r>
      </w:hyperlink>
    </w:p>
    <w:p>
      <w:pPr>
        <w:pStyle w:val="BodyText"/>
      </w:pPr>
      <w:hyperlink w:anchor="profile-record">
        <w:r>
          <w:rPr>
            <w:rStyle w:val="Hyperlink"/>
          </w:rPr>
          <w:t xml:space="preserve">22.1 Registo do perfil [47](#profile-record)</w:t>
        </w:r>
      </w:hyperlink>
    </w:p>
    <w:p>
      <w:pPr>
        <w:pStyle w:val="BodyText"/>
      </w:pPr>
      <w:hyperlink w:anchor="risk-register">
        <w:r>
          <w:rPr>
            <w:rStyle w:val="Hyperlink"/>
          </w:rPr>
          <w:t xml:space="preserve">22.2 Registo de risco [47](#risk-register)</w:t>
        </w:r>
      </w:hyperlink>
    </w:p>
    <w:p>
      <w:pPr>
        <w:pStyle w:val="BodyText"/>
      </w:pPr>
      <w:hyperlink w:anchor="control-test-sheet">
        <w:r>
          <w:rPr>
            <w:rStyle w:val="Hyperlink"/>
          </w:rPr>
          <w:t xml:space="preserve">22.3 Folha de ensaio de controlo [47](#control-test-sheet)</w:t>
        </w:r>
      </w:hyperlink>
    </w:p>
    <w:p>
      <w:pPr>
        <w:pStyle w:val="BodyText"/>
      </w:pPr>
      <w:hyperlink w:anchor="supplier-review">
        <w:r>
          <w:rPr>
            <w:rStyle w:val="Hyperlink"/>
          </w:rPr>
          <w:t xml:space="preserve">22.4 Avaliação do fornecedor [47](#supplier-review)</w:t>
        </w:r>
      </w:hyperlink>
    </w:p>
    <w:p>
      <w:pPr>
        <w:pStyle w:val="BodyText"/>
      </w:pPr>
      <w:hyperlink w:anchor="manager-readiness-checklist">
        <w:r>
          <w:rPr>
            <w:rStyle w:val="Hyperlink"/>
          </w:rPr>
          <w:t xml:space="preserve">22.5 Lista de verificação de prontidão do gestor [48](#manager-readiness-checklist)</w:t>
        </w:r>
      </w:hyperlink>
    </w:p>
    <w:p>
      <w:pPr>
        <w:pStyle w:val="BodyText"/>
      </w:pPr>
      <w:hyperlink w:anchor="glossary-and-subject-index">
        <w:r>
          <w:rPr>
            <w:rStyle w:val="Hyperlink"/>
          </w:rPr>
          <w:t xml:space="preserve">23. Índice de Glossário e Assunto [49](#glossary-and-subject-index)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23.1 Índice do assunto [49](#subject-index)</w:t>
        </w:r>
      </w:hyperlink>
    </w:p>
    <w:p>
      <w:pPr>
        <w:pStyle w:val="BodyText"/>
      </w:pPr>
      <w:hyperlink w:anchor="official-references-and-further-study">
        <w:r>
          <w:rPr>
            <w:rStyle w:val="Hyperlink"/>
          </w:rPr>
          <w:t xml:space="preserve">24. Referências oficiais e estudo complementar [50](#official-references-and-further-study)</w:t>
        </w:r>
      </w:hyperlink>
    </w:p>
    <w:bookmarkEnd w:id="23"/>
    <w:bookmarkStart w:id="25" w:name="fundação-nist-csf-2.0"/>
    <w:p>
      <w:pPr>
        <w:pStyle w:val="Heading1"/>
      </w:pPr>
      <w:r>
        <w:t xml:space="preserve">1. Fundação NIST CSF 2.0</w:t>
      </w:r>
    </w:p>
    <w:p>
      <w:pPr>
        <w:numPr>
          <w:ilvl w:val="0"/>
          <w:numId w:val="1002"/>
        </w:numPr>
        <w:pStyle w:val="Compact"/>
      </w:pPr>
      <w:r>
        <w:t xml:space="preserve">O que é o framework, o que mudou, e o que não reivindica.*</w:t>
      </w:r>
    </w:p>
    <w:p>
      <w:pPr>
        <w:pStyle w:val="FirstParagraph"/>
      </w:pPr>
    </w:p>
    <w:p>
      <w:pPr>
        <w:pStyle w:val="BodyText"/>
      </w:pPr>
      <w:r>
        <w:t xml:space="preserve">Figura 1. As seis funções NIST CSF 2.0</w:t>
      </w:r>
    </w:p>
    <w:bookmarkStart w:id="24" w:name="o-que-é-csf-2.0"/>
    <w:p>
      <w:pPr>
        <w:pStyle w:val="Heading2"/>
      </w:pPr>
      <w:r>
        <w:t xml:space="preserve">1.1 O que é CSF 2.0</w:t>
      </w:r>
    </w:p>
    <w:p>
      <w:pPr>
        <w:pStyle w:val="FirstParagraph"/>
      </w:pPr>
      <w:r>
        <w:t xml:space="preserve">NIST publicou CSF 2.0 em 26 de fevereiro de 2024. É projetado para organizações de cada tamanho, setor e nível de sofisticação técnica. Seus resultados são país, setor e tecnologia neutra. As organizações podem adotá-lo voluntariamente ou porque uma política, contrato, regulador, cliente ou padrão interno pede por ele.</w:t>
      </w:r>
    </w:p>
    <w:bookmarkEnd w:id="24"/>
    <w:bookmarkEnd w:id="25"/>
    <w:bookmarkStart w:id="26" w:name="o-que-mudou-com-csf-1.1"/>
    <w:p>
      <w:pPr>
        <w:pStyle w:val="Heading1"/>
      </w:pPr>
      <w:r>
        <w:t xml:space="preserve">1.2 O que mudou com CSF 1.1</w:t>
      </w:r>
    </w:p>
    <w:p>
      <w:pPr>
        <w:numPr>
          <w:ilvl w:val="0"/>
          <w:numId w:val="1003"/>
        </w:numPr>
      </w:pPr>
      <w:r>
        <w:t xml:space="preserve">GOVERNO tornou-se uma sexta função, colocando liderança, política, risco empresarial, e responsabilização no centro.</w:t>
      </w:r>
    </w:p>
    <w:p>
      <w:pPr>
        <w:numPr>
          <w:ilvl w:val="0"/>
          <w:numId w:val="1003"/>
        </w:numPr>
      </w:pPr>
      <w:r>
        <w:t xml:space="preserve">A segurança cibernética da cadeia de abastecimento recebeu maior ênfase.</w:t>
      </w:r>
    </w:p>
    <w:p>
      <w:pPr>
        <w:numPr>
          <w:ilvl w:val="0"/>
          <w:numId w:val="1003"/>
        </w:numPr>
      </w:pPr>
      <w:r>
        <w:t xml:space="preserve">A linguagem foi alargada para além da infra-estrutura crítica, pelo que o quadro serve claramente a todas as organizações.</w:t>
      </w:r>
    </w:p>
    <w:p>
      <w:pPr>
        <w:numPr>
          <w:ilvl w:val="0"/>
          <w:numId w:val="1003"/>
        </w:numPr>
      </w:pPr>
      <w:r>
        <w:t xml:space="preserve">Perfis, Níveis, Exemplos de Implementação, Referências Informativas e Guias de Iniciação Rápida formam um portfólio CSF maior.</w:t>
      </w:r>
    </w:p>
    <w:p>
      <w:pPr>
        <w:numPr>
          <w:ilvl w:val="0"/>
          <w:numId w:val="1003"/>
        </w:numPr>
      </w:pPr>
      <w:r>
        <w:t xml:space="preserve">Alguns números de subcategoria contêm lacunas intencionais porque CSF 1.1 conteúdo movido dentro CSF 2.0.</w:t>
      </w:r>
    </w:p>
    <w:bookmarkEnd w:id="26"/>
    <w:bookmarkStart w:id="27" w:name="o-que-csf-2.0-não-é"/>
    <w:p>
      <w:pPr>
        <w:pStyle w:val="Heading1"/>
      </w:pPr>
      <w:r>
        <w:t xml:space="preserve"># 1.3 O que CSF 2.0 não é</w:t>
      </w:r>
    </w:p>
    <w:p>
      <w:pPr>
        <w:numPr>
          <w:ilvl w:val="0"/>
          <w:numId w:val="1004"/>
        </w:numPr>
      </w:pPr>
      <w:r>
        <w:t xml:space="preserve">Não é uma lei sozinha.</w:t>
      </w:r>
    </w:p>
    <w:p>
      <w:pPr>
        <w:numPr>
          <w:ilvl w:val="0"/>
          <w:numId w:val="1004"/>
        </w:numPr>
      </w:pPr>
      <w:r>
        <w:t xml:space="preserve">Não é um catálogo de controle único ou lista de tecnologia obrigatória.</w:t>
      </w:r>
    </w:p>
    <w:p>
      <w:pPr>
        <w:numPr>
          <w:ilvl w:val="0"/>
          <w:numId w:val="1004"/>
        </w:numPr>
      </w:pPr>
      <w:r>
        <w:t xml:space="preserve">Não fornece uma pontuação universal passe/falha.</w:t>
      </w:r>
    </w:p>
    <w:p>
      <w:pPr>
        <w:numPr>
          <w:ilvl w:val="0"/>
          <w:numId w:val="1004"/>
        </w:numPr>
      </w:pPr>
      <w:r>
        <w:t xml:space="preserve">NIST não certifica organizações, produtos, consultores ou avaliadores contra o CSF.</w:t>
      </w:r>
    </w:p>
    <w:p>
      <w:pPr>
        <w:numPr>
          <w:ilvl w:val="0"/>
          <w:numId w:val="1004"/>
        </w:numPr>
      </w:pPr>
      <w:r>
        <w:t xml:space="preserve">Um nível alto não é automaticamente o alvo certo para cada escopo.</w:t>
      </w:r>
    </w:p>
    <w:p>
      <w:pPr>
        <w:numPr>
          <w:ilvl w:val="0"/>
          <w:numId w:val="1004"/>
        </w:numPr>
      </w:pPr>
      <w:r>
        <w:t xml:space="preserve">Um mapeamento para um resultado CSF não prova que o resultado é alcançado.</w:t>
      </w:r>
    </w:p>
    <w:bookmarkEnd w:id="27"/>
    <w:bookmarkStart w:id="31" w:name="núcleo-perfis-níveis-e-recursos-de-apoio"/>
    <w:p>
      <w:pPr>
        <w:pStyle w:val="Heading1"/>
      </w:pPr>
      <w:r>
        <w:t xml:space="preserve">2. Núcleo, Perfis, Níveis e Recursos de Apoio</w:t>
      </w:r>
    </w:p>
    <w:p>
      <w:pPr>
        <w:numPr>
          <w:ilvl w:val="0"/>
          <w:numId w:val="1005"/>
        </w:numPr>
        <w:pStyle w:val="Compact"/>
      </w:pPr>
      <w:r>
        <w:t xml:space="preserve">As peças de CSF 2.0 e como eles se encaixam.*</w:t>
      </w:r>
    </w:p>
    <w:p>
      <w:pPr>
        <w:pStyle w:val="FirstParagraph"/>
      </w:pPr>
    </w:p>
    <w:p>
      <w:pPr>
        <w:pStyle w:val="BodyText"/>
      </w:pPr>
      <w:r>
        <w:t xml:space="preserve">Figura 2. CSF Hierarquia do núcleo</w:t>
      </w:r>
    </w:p>
    <w:bookmarkStart w:id="28" w:name="uso-prático"/>
    <w:p>
      <w:pPr>
        <w:pStyle w:val="Heading2"/>
      </w:pPr>
      <w:r>
        <w:t xml:space="preserve">• ** ** ** ** ** ** ** Uso prático **</w:t>
      </w:r>
    </w:p>
    <w:p>
      <w:pPr>
        <w:pStyle w:val="FirstParagraph"/>
      </w:pPr>
      <w:r>
        <w:t xml:space="preserve">Uma hierarquia de seis Funções, 22 Categorias e 106 Subcategorias</w:t>
      </w:r>
      <w:r>
        <w:t xml:space="preserve"> </w:t>
      </w:r>
      <w:r>
        <w:t xml:space="preserve">Perfil Organizacional Resultados atuais e/ou alvos para um escopo definido Compare postura, priorize lacunas, plan work</w:t>
      </w:r>
      <w:r>
        <w:t xml:space="preserve"> </w:t>
      </w:r>
      <w:r>
        <w:t xml:space="preserve">Perfil da Comunidade Uma linha de base de resultados partilhados para um sector, tecnologia, ameaça ou caso de utilização .</w:t>
      </w:r>
      <w:r>
        <w:t xml:space="preserve"> </w:t>
      </w:r>
      <w:r>
        <w:t xml:space="preserve">Contexto para o rigor da governação e das práticas de gestão de riscos</w:t>
      </w:r>
      <w:r>
        <w:t xml:space="preserve"> </w:t>
      </w:r>
      <w:r>
        <w:t xml:space="preserve">□ Exemplos de Implementação • Ações nocionais que podem ajudar a alcançar resultados</w:t>
      </w:r>
      <w:r>
        <w:t xml:space="preserve"> </w:t>
      </w:r>
      <w:r>
        <w:t xml:space="preserve">• Referências informativas; • Mapeamento de padrões, orientações, regulamentos e outras fontes;</w:t>
      </w:r>
      <w:r>
        <w:t xml:space="preserve"> </w:t>
      </w:r>
      <w:r>
        <w:t xml:space="preserve">Guias de Iniciação Rápida Guia Acionável Breve sobre CSF específico usa Perfil Inicial, Nível, MTC, cadeia de suprimentos e trabalho de pequeno negócio</w:t>
      </w:r>
    </w:p>
    <w:p>
      <w:pPr>
        <w:pStyle w:val="BodyText"/>
      </w:pPr>
      <w:r>
        <w:t xml:space="preserve">Números que importam:** CSF 2.0 contém 6 Funções, 22 Categorias e 106 subcategorias. As subcategorias descrevem resultados, produtos não exigidos ou implementações idênticas.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6"/>
        </w:numPr>
        <w:pStyle w:val="Compact"/>
      </w:pPr>
      <w:r>
        <w:t xml:space="preserve">Roteiro de Implementação Prática</w:t>
      </w:r>
    </w:p>
    <w:p>
      <w:pPr>
        <w:pStyle w:val="FirstParagraph"/>
      </w:pPr>
      <w:r>
        <w:rPr>
          <w:iCs/>
          <w:i/>
        </w:rPr>
        <w:t xml:space="preserve">Uma forma repetitiva de passar da linguagem framework para a melhoria financiada.</w:t>
      </w:r>
    </w:p>
    <w:p>
      <w:pPr>
        <w:numPr>
          <w:ilvl w:val="0"/>
          <w:numId w:val="1007"/>
        </w:numPr>
      </w:pPr>
      <w:r>
        <w:t xml:space="preserve">Nomeie um patrocinador executivo e proprietário do programa.</w:t>
      </w:r>
    </w:p>
    <w:p>
      <w:pPr>
        <w:numPr>
          <w:ilvl w:val="0"/>
          <w:numId w:val="1007"/>
        </w:numPr>
      </w:pPr>
      <w:r>
        <w:t xml:space="preserve">Defina o escopo do perfil: empresa, unidade de negócios, produto, serviço, sistema, região ou ecossistema de fornecedores.</w:t>
      </w:r>
    </w:p>
    <w:p>
      <w:pPr>
        <w:numPr>
          <w:ilvl w:val="0"/>
          <w:numId w:val="1007"/>
        </w:numPr>
      </w:pPr>
      <w:r>
        <w:t xml:space="preserve">Reunir missão, stakeholder, legal, contratual, risco, ativo, ameaça, incidente, auditoria, força de trabalho e informações do fornecedor.</w:t>
      </w:r>
    </w:p>
    <w:p>
      <w:pPr>
        <w:numPr>
          <w:ilvl w:val="0"/>
          <w:numId w:val="1007"/>
        </w:numPr>
      </w:pPr>
      <w:r>
        <w:t xml:space="preserve">Selecione os resultados CSF aplicáveis e crie um perfil atual usando evidências confiáveis.</w:t>
      </w:r>
    </w:p>
    <w:p>
      <w:pPr>
        <w:numPr>
          <w:ilvl w:val="0"/>
          <w:numId w:val="1007"/>
        </w:numPr>
      </w:pPr>
      <w:r>
        <w:t xml:space="preserve">Definir um perfil-alvo baseado no risco, considerando Perfis e obrigações da Comunidade.</w:t>
      </w:r>
    </w:p>
    <w:p>
      <w:pPr>
        <w:numPr>
          <w:ilvl w:val="0"/>
          <w:numId w:val="1007"/>
        </w:numPr>
      </w:pPr>
      <w:r>
        <w:t xml:space="preserve">Analise lacunas, dependências, custo, viabilidade e redução de risco.</w:t>
      </w:r>
    </w:p>
    <w:p>
      <w:pPr>
        <w:numPr>
          <w:ilvl w:val="0"/>
          <w:numId w:val="1007"/>
        </w:numPr>
      </w:pPr>
      <w:r>
        <w:t xml:space="preserve">Criar um plano de ação aprovado com proprietários, recursos, marcos, medidas e proteção provisória.</w:t>
      </w:r>
    </w:p>
    <w:p>
      <w:pPr>
        <w:numPr>
          <w:ilvl w:val="0"/>
          <w:numId w:val="1007"/>
        </w:numPr>
      </w:pPr>
      <w:r>
        <w:t xml:space="preserve">Aplicar controlos e procedimentos operacionais.</w:t>
      </w:r>
    </w:p>
    <w:p>
      <w:pPr>
        <w:numPr>
          <w:ilvl w:val="0"/>
          <w:numId w:val="1007"/>
        </w:numPr>
      </w:pPr>
      <w:r>
        <w:t xml:space="preserve">Projeto de teste e eficácia operacional com populações completas e amostras representativas.</w:t>
      </w:r>
    </w:p>
    <w:p>
      <w:pPr>
        <w:numPr>
          <w:ilvl w:val="0"/>
          <w:numId w:val="1007"/>
        </w:numPr>
      </w:pPr>
      <w:r>
        <w:t xml:space="preserve">Relatar risco, decisões, exceções, progresso e limitações.</w:t>
      </w:r>
    </w:p>
    <w:p>
      <w:pPr>
        <w:numPr>
          <w:ilvl w:val="0"/>
          <w:numId w:val="1007"/>
        </w:numPr>
      </w:pPr>
      <w:r>
        <w:t xml:space="preserve">Atualizar perfis após mudanças materiais, incidentes, exercícios, comentários ou risco de mudança.</w:t>
      </w:r>
    </w:p>
    <w:bookmarkEnd w:id="28"/>
    <w:bookmarkStart w:id="29" w:name="X619ae7423362deb5783211873f12d59382db661"/>
    <w:p>
      <w:pPr>
        <w:pStyle w:val="Heading2"/>
      </w:pPr>
      <w:r>
        <w:t xml:space="preserve">Comece pequeno sem perder a integridade:** Uma pequena organização pode começar com um serviço crítico ou processo de alto risco. Mantenha o escopo honesto, registre exclusões e expanda deliberadamente. □</w:t>
      </w:r>
    </w:p>
    <w:p>
      <w:pPr>
        <w:numPr>
          <w:ilvl w:val="0"/>
          <w:numId w:val="1008"/>
        </w:numPr>
        <w:pStyle w:val="Compact"/>
      </w:pPr>
      <w:r>
        <w:t xml:space="preserve">Função do GOVERNO</w:t>
      </w:r>
    </w:p>
    <w:p>
      <w:pPr>
        <w:numPr>
          <w:ilvl w:val="0"/>
          <w:numId w:val="1009"/>
        </w:numPr>
        <w:pStyle w:val="Compact"/>
      </w:pPr>
      <w:r>
        <w:t xml:space="preserve">Uma discriminação completa em língua simples de cada categoria e subcategoria GOVERN.*</w:t>
      </w:r>
    </w:p>
    <w:bookmarkEnd w:id="29"/>
    <w:bookmarkStart w:id="30" w:name="Xd5048814c5b036d5b3ea9b83bb0a7a636584613"/>
    <w:p>
      <w:pPr>
        <w:pStyle w:val="Heading2"/>
      </w:pPr>
      <w:r>
        <w:t xml:space="preserve">□ ** Objectivo da função:** Defina direção, expectativas, responsabilização, política, supervisão e gerenciamento de risco da cadeia de suprimentos. □</w:t>
      </w:r>
    </w:p>
    <w:bookmarkEnd w:id="30"/>
    <w:bookmarkEnd w:id="31"/>
    <w:bookmarkStart w:id="35" w:name="contexto-organizacional-gv.oc"/>
    <w:p>
      <w:pPr>
        <w:pStyle w:val="Heading1"/>
      </w:pPr>
      <w:r>
        <w:t xml:space="preserve"># Contexto organizacional (GV.OC)</w:t>
      </w:r>
    </w:p>
    <w:bookmarkStart w:id="32" w:name="Xc649db8d50343a0f141d21b3f9ebec4f537b6fe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GV.OC-01 □ Conecte as decisões de segurança cibernética à missão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GV.OC-02 Identifique os stakeholders e considere suas expectativas de segurança cibernética.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□ GV.OC-03 Identifique e gerencie obrigações legais, regulamentares, contratuais, de privacidade e de liberdade civil.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O GV.OC-04 Compreender e comunicar os serviços críticos que outros esperam da organização. Confirmar propriedade, escopo, implementação, revisão, exceções, ação corretiva e operação repetitiva. Missão e registros de stakeholders, registro de obrigações, mapa de dependência</w:t>
      </w:r>
      <w:r>
        <w:t xml:space="preserve"> </w:t>
      </w:r>
      <w:r>
        <w:t xml:space="preserve">GV.OC-05 Compreender e comunicar os resultados, capacidades e serviços externos da organização depende. Confirmar propriedade, escopo, implementação, revisão, exceções, ação corretiva e operação repetitiva. Missão e registros de stakeholders, registro de obrigações, mapa de dependência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2"/>
    <w:bookmarkStart w:id="33" w:name="estratégia-de-gestão-de-risco-gv.rm"/>
    <w:p>
      <w:pPr>
        <w:pStyle w:val="Heading2"/>
      </w:pPr>
      <w:r>
        <w:t xml:space="preserve">Estratégia de Gestão de Risco (GV.RM)</w:t>
      </w:r>
    </w:p>
    <w:bookmarkEnd w:id="33"/>
    <w:bookmarkStart w:id="34" w:name="Xe9da5783f0b4b445255fc8bdc4967390994844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GV.RM-01 □ Concordo com os objetivos de gerenciamento de risco de segurança cibernética com as partes interessadas relevantes.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• GV.RM-02 • Estabelecer, comunicar e manter as declarações de risco de apetite e tolerância.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GV.RM-03 Integra o risco de segurança cibernética em processos de gestão de riscos empresariais.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□ GV.RM-04 □ Definir e comunicar opções aceitáveis de resposta ao risco.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GV.RM-05 Criar caminhos de comunicação para riscos cibernéticos, incluindo riscos de fornecedores e terceiros.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Use um método consistente para calcular, documentar, categorizar e priorizar riscos cibernéticos. Confirmar propriedade, escopo, implementação, revisão, exceções, ação corretiva e operação repetitiva. Risco de apetite, método, registo de risco empresarial, caminhos de comunicação</w:t>
      </w:r>
      <w:r>
        <w:t xml:space="preserve"> </w:t>
      </w:r>
      <w:r>
        <w:t xml:space="preserve">O GV.RM-07 Inclui oportunidades benéficas e risco positivo nas discussões sobre segurança cibernética. Confirmar propriedade, escopo, implementação, revisão, exceções, ação corretiva e operação repetitiva. Risco de apetite, método, registo de risco empresarial, caminhos de comunicação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4"/>
    <w:bookmarkEnd w:id="35"/>
    <w:bookmarkStart w:id="37" w:name="X783ee5c35e0ac23b82335069eae94a2919fdf82"/>
    <w:p>
      <w:pPr>
        <w:pStyle w:val="Heading1"/>
      </w:pPr>
      <w:r>
        <w:t xml:space="preserve"># Funções, responsabilidades e autoridades (GV.RR)</w:t>
      </w:r>
    </w:p>
    <w:bookmarkStart w:id="36" w:name="X5f6f36a131e909d0f66511a0fdc2baf88cc5ca9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GV.RR-01 A liderança aceita a responsabilidade pelo risco de cibersegurança e apoia uma cultura ética, melhorando.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□ GV.RR-02 □ Estabelecer, comunicar, compreender e impor funções cibernéticas, responsabilidades e autoridade.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Alocar pessoas, dinheiro, tecnologia e tempo de acordo com a estratégia e política de risco. Confirmar propriedade, escopo, implementação, revisão, exceções, ação corretiva e operação repetitiva. RACI, descrições de trabalho, orçamento, registros de força de trabalho</w:t>
      </w:r>
      <w:r>
        <w:t xml:space="preserve"> </w:t>
      </w:r>
      <w:r>
        <w:t xml:space="preserve">O GV.RR-04 Incluir responsabilidades de segurança cibernética nas práticas de recursos humanos. Confirmar propriedade, escopo, implementação, revisão, exceções, ação corretiva e operação repetitiva. RACI, descrições de trabalho, orçamento, registros de força de trabalho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6"/>
    <w:bookmarkEnd w:id="37"/>
    <w:bookmarkStart w:id="39" w:name="política-gv.po"/>
    <w:p>
      <w:pPr>
        <w:pStyle w:val="Heading1"/>
      </w:pPr>
      <w:r>
        <w:t xml:space="preserve"># Política (GV.PO)</w:t>
      </w:r>
    </w:p>
    <w:bookmarkStart w:id="38" w:name="X06a28ab2a80ec2bd3c06bb1ab530b752e5e8bbb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GV.PO-01 □ Estabelecer, comunicar e aplicar a política de segurança cibernética com base em contexto, estratégia e prioridades. Confirmar propriedade, escopo, implementação, revisão, exceções, ação corretiva e operação repetitiva. Política aprovada, agradecimentos, histórico de revisão, registros de execução</w:t>
      </w:r>
      <w:r>
        <w:t xml:space="preserve"> </w:t>
      </w:r>
      <w:r>
        <w:t xml:space="preserve">O GV.PO-02 Revisão e atualização da política quando os requisitos, ameaças, tecnologia ou a mudança da missão. Confirmar propriedade, escopo, implementação, revisão, exceções, ação corretiva e operação repetitiva. Política aprovada, agradecimentos, histórico de revisão, registros de execução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38"/>
    <w:bookmarkEnd w:id="39"/>
    <w:bookmarkStart w:id="41" w:name="supervisão-gv.ov"/>
    <w:p>
      <w:pPr>
        <w:pStyle w:val="Heading1"/>
      </w:pPr>
      <w:r>
        <w:t xml:space="preserve"># Supervisão (GV.OV)</w:t>
      </w:r>
    </w:p>
    <w:bookmarkStart w:id="40" w:name="X913c19538217e77eb10902636b11af255ba0d8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GV.OV-01 Reveja os resultados da estratégia e use-os para ajustar a direção.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Ajustar a estratégia de risco quando os requisitos ou riscos não são totalmente cobertos. Confirmar propriedade, escopo, implementação, revisão, exceções, ação corretiva e operação repetitiva. Painel, atas de reunião, decisões, mudanças de estratégia</w:t>
      </w:r>
      <w:r>
        <w:t xml:space="preserve"> </w:t>
      </w:r>
      <w:r>
        <w:t xml:space="preserve">Avaliar o desempenho em segurança cibernética e determinar as mudanças necessárias. Confirmar propriedade, escopo, implementação, revisão, exceções, ação corretiva e operação repetitiva. Painel, atas de reunião, decisões, mudanças de estratégia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0"/>
    <w:bookmarkEnd w:id="41"/>
    <w:bookmarkStart w:id="43" w:name="X06e7e6b6aaeba308876c2130701db9051a4a05f"/>
    <w:p>
      <w:pPr>
        <w:pStyle w:val="Heading1"/>
      </w:pPr>
      <w:r>
        <w:t xml:space="preserve"># Gerenciamento de risco da cadeia de suprimentos de segurança cibernética (GV.SC)</w:t>
      </w:r>
    </w:p>
    <w:bookmarkStart w:id="42" w:name="X0040f88d6ebe22cffd4dbfdf3a72eba1b61805c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GV.SC-01 □ Estabelecer um programa de risco de cadeia de suprimentos, estratégia, objetivos, políticas e processos.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GV.SC-02 O Coordene funções de segurança cibernética para fornecedores, clientes, parceiros e proprietários internos.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GV.SC-03 Integra o risco de cadeia de suprimentos no trabalho de cibersegurança, MTC, avaliação e melhoria.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GV.SC-04 Conheça os fornecedores e priorize-os por criticidade.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GV.SC-05 □ Coloque requisitos de segurança cibernética priorizados em contratos e acordos.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GV.SC-06 Realizar planejamento e diligência devida antes de iniciar relacionamentos de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GV.SC-07 Record, avalie, responda e monitore os riscos do fornecedor, produto, serviço e terceiros.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□ GV.SC-08 □ Inclua terceiros relevantes no planejamento, resposta e recuperação de incidentes.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• GV.SC-09 • Monitore a segurança da cadeia de suprimentos ao longo do ciclo de vida do produto e do serviço tecnológico. Confirmar propriedade, escopo, implementação, revisão, exceções, ação corretiva e operação repetitiva. Inventário do fornecedor, nivelamento, due diligence, contratos, monitoramento, prova de saída</w:t>
      </w:r>
      <w:r>
        <w:t xml:space="preserve"> </w:t>
      </w:r>
      <w:r>
        <w:t xml:space="preserve">O GV.SC-10 Planeje atividades de segurança para o fim de um acordo de parceria ou serviço. Confirmar propriedade, escopo, implementação, revisão, exceções, ação corretiva e operação repetitiva. Inventário do fornecedor, nivelamento, due diligence, contratos, monitoramento, prova de saída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2"/>
    <w:bookmarkEnd w:id="43"/>
    <w:bookmarkStart w:id="44" w:name="função-identify"/>
    <w:p>
      <w:pPr>
        <w:pStyle w:val="Heading1"/>
      </w:pPr>
      <w:r>
        <w:t xml:space="preserve">5. Função IDENTIFY</w:t>
      </w:r>
    </w:p>
    <w:p>
      <w:pPr>
        <w:numPr>
          <w:ilvl w:val="0"/>
          <w:numId w:val="1010"/>
        </w:numPr>
        <w:pStyle w:val="Compact"/>
      </w:pPr>
      <w:r>
        <w:t xml:space="preserve">Uma discriminação completa em língua simples de cada categoria e subcategoria IDENTIFY.*</w:t>
      </w:r>
    </w:p>
    <w:p>
      <w:pPr>
        <w:pStyle w:val="FirstParagraph"/>
      </w:pPr>
      <w:r>
        <w:t xml:space="preserve">□ ** Objectivo da função:** Compreenda ativos, dependências, ameaças, vulnerabilidades, riscos e necessidades de melhoria. □</w:t>
      </w:r>
      <w:r>
        <w:t xml:space="preserve"> </w:t>
      </w:r>
      <w:r>
        <w:t xml:space="preserve">O que é que se passa?</w:t>
      </w:r>
    </w:p>
    <w:bookmarkEnd w:id="44"/>
    <w:bookmarkStart w:id="46" w:name="gerenciamento-de-ativos-id.am"/>
    <w:p>
      <w:pPr>
        <w:pStyle w:val="Heading1"/>
      </w:pPr>
      <w:r>
        <w:t xml:space="preserve"># Gerenciamento de ativos (ID.AM)</w:t>
      </w:r>
    </w:p>
    <w:bookmarkStart w:id="45" w:name="X10bc921fbfcf22479bb7b224065096884c2071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ID.AM-01 • Mantenha um inventário de hardware gerenciado.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• ID.AM-02 • Mantenha um inventário de software, serviços e sistemas gerenciados.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ID.AM-03 mantém diagramas atuais de comunicação de rede autorizada e fluxos de 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ID.AM-04 Manter um inventário dos serviços fornecidos pelo fornecedor.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ID.AM-05 Priorizar ativos por classificação, criticidade, recursos e impacto da missão.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□ ID.AM-07 □ Inventário designado tipos de dados e seus metadados. Confirmar propriedade, escopo, implementação, revisão, exceções, ação corretiva e operação repetitiva. inventários de ativos e dados, proprietários, diagramas, registros de ciclo de vida</w:t>
      </w:r>
      <w:r>
        <w:t xml:space="preserve"> </w:t>
      </w:r>
      <w:r>
        <w:t xml:space="preserve">O ID.AM-08 Gerenciar sistemas, hardware, software, serviços e dados ao longo de seus ciclos de vida. Confirmar propriedade, escopo, implementação, revisão, exceções, ação corretiva e operação repetitiva. inventários de ativos e dados, proprietários, diagramas, registros de ciclo de vida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5"/>
    <w:bookmarkEnd w:id="46"/>
    <w:bookmarkStart w:id="48" w:name="avaliação-de-risco-id.ra"/>
    <w:p>
      <w:pPr>
        <w:pStyle w:val="Heading1"/>
      </w:pPr>
      <w:r>
        <w:t xml:space="preserve"># Avaliação de risco (ID.RA)</w:t>
      </w:r>
    </w:p>
    <w:bookmarkStart w:id="47" w:name="X1b091b4d5f41093fd8fe713940429f3d224d263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ID.RA-01 Identifique, valide e registre vulnerabilidades de ativos.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ID.RA-02 □ Receba informações sobre ameaças cibernéticas de fontes de compartilhamento adequadas.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ID.RA-03 Identifique e registre ameaças internas e externas.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ID.RA-04 □ Estimar a probabilidade e o impacto das ameaças que exploram vulnerabilidades.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ID.RA-05 □ Use ameaças, vulnerabilidades, probabilidade e impacto para entender o risco e prioridades inerentes.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□ ID.RA-06 Escolha, priorize, planifique, rastreie e comunique respostas de risco.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Avaliar, registrar, aprovar e rastrear o efeito de risco de mudanças e exceções.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ID.RA-08 Estabelecer um processo para receber, analisar e responder às divulgações de vulnerabilidade.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Avaliar a autenticidade e integridade do hardware e software antes da aquisição e uso. Confirmar propriedade, escopo, implementação, revisão, exceções, ação corretiva e operação repetitiva. Registros de ameaça e vulnerabilidade, análise de risco, tratamento e exceções</w:t>
      </w:r>
      <w:r>
        <w:t xml:space="preserve"> </w:t>
      </w:r>
      <w:r>
        <w:t xml:space="preserve">O ID.RA-10 Avaliar fornecedores críticos antes da aquisição. Confirmar propriedade, escopo, implementação, revisão, exceções, ação corretiva e operação repetitiva. Registros de ameaça e vulnerabilidade, análise de risco, tratamento e exceções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7"/>
    <w:bookmarkEnd w:id="48"/>
    <w:bookmarkStart w:id="50" w:name="melhoria-id.im"/>
    <w:p>
      <w:pPr>
        <w:pStyle w:val="Heading1"/>
      </w:pPr>
      <w:r>
        <w:t xml:space="preserve"># Melhoria (ID.IM)</w:t>
      </w:r>
    </w:p>
    <w:bookmarkStart w:id="49" w:name="X113f3e1bada3586b913e127b03b136f8fc07fd5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ID.IM-01 • Identificar melhorias das avaliações.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• ID.IM-02 • Identificar melhorias de testes e exercícios, incluindo exercícios coordenados de terceiros.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ID.IM-03 Identificar melhorias durante os processos operacionais, procedimentos e atividades. Confirmar propriedade, escopo, implementação, revisão, exceções, ação corretiva e operação repetitiva. Avaliação, exercício, lições, ações corretivas, planos atualizados</w:t>
      </w:r>
      <w:r>
        <w:t xml:space="preserve"> </w:t>
      </w:r>
      <w:r>
        <w:t xml:space="preserve">O ID.IM-04 Estabelecer, comunicar, manter e melhorar os planos de cibersegurança operacionais e de resposta a incidentes. Confirmar propriedade, escopo, implementação, revisão, exceções, ação corretiva e operação repetitiva. Avaliação, exercício, lições, ações corretivas, planos atualizados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49"/>
    <w:bookmarkEnd w:id="50"/>
    <w:bookmarkStart w:id="51" w:name="função-de-proteção"/>
    <w:p>
      <w:pPr>
        <w:pStyle w:val="Heading1"/>
      </w:pPr>
      <w:r>
        <w:t xml:space="preserve">6. Função de proteção</w:t>
      </w:r>
    </w:p>
    <w:p>
      <w:pPr>
        <w:numPr>
          <w:ilvl w:val="0"/>
          <w:numId w:val="1011"/>
        </w:numPr>
        <w:pStyle w:val="Compact"/>
      </w:pPr>
      <w:r>
        <w:t xml:space="preserve">Uma discriminação completa em linguagem simples de cada categoria e subcategoria PROTECT.*</w:t>
      </w:r>
    </w:p>
    <w:p>
      <w:pPr>
        <w:pStyle w:val="FirstParagraph"/>
      </w:pPr>
      <w:r>
        <w:t xml:space="preserve">□ ** Objectivo da função:** Use salvaguardas que reduzem a probabilidade e o impacto de eventos de segurança cibernética.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□—————————————————————————————————————————————————————–</w:t>
      </w:r>
    </w:p>
    <w:bookmarkEnd w:id="51"/>
    <w:bookmarkStart w:id="53" w:name="X86c4738ec22b68efc9c719749cdae5b7709a640"/>
    <w:p>
      <w:pPr>
        <w:pStyle w:val="Heading1"/>
      </w:pPr>
      <w:r>
        <w:t xml:space="preserve"># Gestão de Identidade, Autenticação e Controle de Acesso (PR.AA)</w:t>
      </w:r>
    </w:p>
    <w:bookmarkStart w:id="52" w:name="X307c0e787dfa3e43d47613930306ed57ff9780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PR.AA-01 Gerencia identidades e credenciais para pessoas, serviços e hardware autorizados.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PR.AA-02 O que prova identidades e as vincula a credenciais de acordo com o risco da interação.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PR.AA-03 O Autenticar usuários, serviços e hardware.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PR.AA-04 protege, transmite e verifica as afirmações de identidade.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□ PR.AA-05 □ Defina, execute e reveja permissões usando o menor privilégio e separação de deveres. Confirmar propriedade, escopo, implementação, revisão, exceções, ação corretiva e operação repetitiva. Inventário de identidade, matriz de acesso, configurações de MFA, revisões, tickets de remoção</w:t>
      </w:r>
      <w:r>
        <w:t xml:space="preserve"> </w:t>
      </w:r>
      <w:r>
        <w:t xml:space="preserve">O PR.AA-06 Gerenciar, monitorar e impor o acesso físico de acordo com o risco. Confirmar propriedade, escopo, implementação, revisão, exceções, ação corretiva e operação repetitiva. Inventário de identidade, matriz de acesso, configurações de MFA, revisões, tickets de remoção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2"/>
    <w:bookmarkEnd w:id="53"/>
    <w:bookmarkStart w:id="55" w:name="conscientização-e-treino-pr.at"/>
    <w:p>
      <w:pPr>
        <w:pStyle w:val="Heading1"/>
      </w:pPr>
      <w:r>
        <w:t xml:space="preserve"># Conscientização e treino (PR.AT)</w:t>
      </w:r>
    </w:p>
    <w:bookmarkStart w:id="54" w:name="X96e644e3b2c470f907def24116138bb37e552d0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PR.AT-01 • Dê ao pessoal o conhecimento e as habilidades para executar o trabalho normal com risco cibernético em mente. Confirmar propriedade, escopo, implementação, revisão, exceções, ação corretiva e operação repetitiva. Currículo baseado em funções, lista, conclusão, exercícios, acompanhamento</w:t>
      </w:r>
      <w:r>
        <w:t xml:space="preserve"> </w:t>
      </w:r>
      <w:r>
        <w:t xml:space="preserve">- PR.AT-02 - Dê às pessoas em papéis especializados os conhecimentos e habilidades de cibersegurança que esses papéis exigem. Confirmar propriedade, escopo, implementação, revisão, exceções, ação corretiva e operação repetitiva. Currículo baseado em funções, lista, conclusão, exercícios, acompanhamento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4"/>
    <w:bookmarkEnd w:id="55"/>
    <w:bookmarkStart w:id="57" w:name="segurança-de-dados-pr.ds"/>
    <w:p>
      <w:pPr>
        <w:pStyle w:val="Heading1"/>
      </w:pPr>
      <w:r>
        <w:t xml:space="preserve"># Segurança de dados (PR.DS)</w:t>
      </w:r>
    </w:p>
    <w:bookmarkStart w:id="56" w:name="X64806ba69f2e09edcf75440ba55dd1804f771d6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PR.DS-01 Proteger os dados em repouso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PR.DS-02 Proteger dados em trânsito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O PR.DS-10 Proteger dados em uso para confidencialidade, integridade e disponibilidade. Confirmar propriedade, escopo, implementação, revisão, exceções, ação corretiva e operação repetitiva. Classificação, configurações de criptografia, registros DLP, testes de backup e restauração</w:t>
      </w:r>
      <w:r>
        <w:t xml:space="preserve"> </w:t>
      </w:r>
      <w:r>
        <w:t xml:space="preserve">• PR.DS-11 • Crie, proteja, mantenha e teste backups. Confirmar propriedade, escopo, implementação, revisão, exceções, ação corretiva e operação repetitiva. Classificação, configurações de criptografia, registros DLP, testes de backup e restauração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6"/>
    <w:bookmarkEnd w:id="57"/>
    <w:bookmarkStart w:id="59" w:name="segurança-da-plataforma-pr.ps"/>
    <w:p>
      <w:pPr>
        <w:pStyle w:val="Heading1"/>
      </w:pPr>
      <w:r>
        <w:t xml:space="preserve"># Segurança da plataforma (PR.PS)</w:t>
      </w:r>
    </w:p>
    <w:bookmarkStart w:id="58" w:name="X2f0c91dd6ef72dde31d3296ffea96354234230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PR.PS-01 □ Estabelecer e aplicar práticas de gestão de configuração.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PR.PS-02 • Manter, substituir e remover software de acordo com o risco.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• PR.PS-03 • Manter, substituir e remover hardware de acordo com o risco.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PR.PS-04 Gerar registros e torná-los disponíveis para monitoramento contínuo. Confirmar propriedade, escopo, implementação, revisão, exceções, ação corretiva e operação repetitiva. □ Baselines, patch e registros EOL, logs, allowlisting, evidência de SDLC seguro</w:t>
      </w:r>
      <w:r>
        <w:t xml:space="preserve"> </w:t>
      </w:r>
      <w:r>
        <w:t xml:space="preserve">O PR.PS-05 Impedir a instalação e execução de software não autorizado. Confirmar propriedade, escopo, implementação, revisão, exceções, ação corretiva e operação repetitiva. Linhas de base, registros de patch e EOL, logs, allowlisting, evidência de SDLC seguro</w:t>
      </w:r>
      <w:r>
        <w:t xml:space="preserve"> </w:t>
      </w:r>
      <w:r>
        <w:t xml:space="preserve">O PR.PS-06 Integrar e monitorar práticas seguras de desenvolvimento de software ao longo do ciclo de vida. Confirmar propriedade, escopo, implementação, revisão, exceções, ação corretiva e operação repetitiva. Linhas de base, registros de patch e EOL, logs, allowlisting, evidência de SDLC seguro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58"/>
    <w:bookmarkEnd w:id="59"/>
    <w:bookmarkStart w:id="61" w:name="X4ed59da46456f7df6758d346b3c8b8ee1f1f907"/>
    <w:p>
      <w:pPr>
        <w:pStyle w:val="Heading1"/>
      </w:pPr>
      <w:r>
        <w:t xml:space="preserve"># Resiliência de infraestrutura tecnológica (PR.IR)</w:t>
      </w:r>
    </w:p>
    <w:bookmarkStart w:id="60" w:name="X57d16fb81e18d47abc4928c90f757c91aebd1ef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PR.IR-01 □ Proteja redes e ambientes de acesso lógico e uso não autorizados.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PR.IR-02 Proteger os ativos da tecnologia contra ameaças ambientais.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O PR.IR-03 O Implemente mecanismos que atendam às necessidades de resiliência durante condições normais e adversas. Confirmar propriedade, escopo, implementação, revisão, exceções, ação corretiva e operação repetitiva. Arquitetura, segmentação, controles ambientais, testes de resiliência e capacidade</w:t>
      </w:r>
      <w:r>
        <w:t xml:space="preserve"> </w:t>
      </w:r>
      <w:r>
        <w:t xml:space="preserve">• PR.IR-04 • Mantenha capacidade de recursos suficiente para suportar disponibilidade. Confirmar propriedade, escopo, implementação, revisão, exceções, ação corretiva e operação repetitiva. Arquitetura, segmentação, controles ambientais, testes de resiliência e capacidade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0"/>
    <w:bookmarkEnd w:id="61"/>
    <w:bookmarkStart w:id="62" w:name="função-detect"/>
    <w:p>
      <w:pPr>
        <w:pStyle w:val="Heading1"/>
      </w:pPr>
      <w:r>
        <w:t xml:space="preserve">7. Função DETECT</w:t>
      </w:r>
    </w:p>
    <w:p>
      <w:pPr>
        <w:numPr>
          <w:ilvl w:val="0"/>
          <w:numId w:val="1012"/>
        </w:numPr>
        <w:pStyle w:val="Compact"/>
      </w:pPr>
      <w:r>
        <w:t xml:space="preserve">Uma desagregação completa em linguagem simples de cada categoria e subcategoria do DETECT.*</w:t>
      </w:r>
    </w:p>
    <w:p>
      <w:pPr>
        <w:pStyle w:val="FirstParagraph"/>
      </w:pPr>
      <w:r>
        <w:t xml:space="preserve">□ ** Objectivo da função:** Monitore e analise eventos para que potenciais ataques e compromissos sejam encontrados.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</w:p>
    <w:bookmarkEnd w:id="62"/>
    <w:bookmarkStart w:id="64" w:name="monitorização-contínua-de.cm"/>
    <w:p>
      <w:pPr>
        <w:pStyle w:val="Heading1"/>
      </w:pPr>
      <w:r>
        <w:t xml:space="preserve"># Monitorização contínua (DE.CM)</w:t>
      </w:r>
    </w:p>
    <w:bookmarkStart w:id="63" w:name="X115c0e314ae0e5c916cf64e2fbaf39c84fa93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• DE.CM-01 • Monitore redes e serviços de rede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DE.CM-02 • Monitore o ambiente físico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DE.CM-03 • Monitore a atividade do pessoal e o uso da tecnologia para eventos potencialmente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DE.CM-06 Monitore atividades e serviços de provedor de serviços externos para eventos adversos. Confirmar propriedade, escopo, implementação, revisão, exceções, ação corretiva e operação repetitiva. Inventário de cobertura, telemetria, alertas, registros de revisão, monitoramento do provedor</w:t>
      </w:r>
      <w:r>
        <w:t xml:space="preserve"> </w:t>
      </w:r>
      <w:r>
        <w:t xml:space="preserve">• DE.CM-09 • Monitore hardware, software, ambientes de execução e dados para eventos adversos. Confirmar propriedade, escopo, implementação, revisão, exceções, ação corretiva e operação repetitiva. Inventário de cobertura, telemetria, alertas, registros de revisão, monitoramento do provedor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3"/>
    <w:bookmarkEnd w:id="64"/>
    <w:bookmarkStart w:id="66" w:name="análise-de-eventos-adversos-de.ae"/>
    <w:p>
      <w:pPr>
        <w:pStyle w:val="Heading1"/>
      </w:pPr>
      <w:r>
        <w:t xml:space="preserve"># Análise de eventos adversos (DE.AE)</w:t>
      </w:r>
    </w:p>
    <w:bookmarkStart w:id="65" w:name="X5942dcbb2236ca197c5be2a518f117f508df2f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DE.AE-02 □ Analise os efeitos adversos potenciais para compreender a atividade relacionada.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DE.AE-03 □ Correlate information from multiple sources.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DE.AE-04 □ Estimar o âmbito e o impacto dos acontecimentos adversos.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O DE.AE-06 fornece informações de eventos adversos a pessoas e ferramentas autorizadas.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DE.AE-07 □ Use a inteligência de ameaça e o contexto na análise de eventos. Confirmar propriedade, escopo, implementação, revisão, exceções, ação corretiva e operação repetitiva. Regras de correlação, alertas enriquecidos, análise de impacto, registro de declaração .</w:t>
      </w:r>
      <w:r>
        <w:t xml:space="preserve"> </w:t>
      </w:r>
      <w:r>
        <w:t xml:space="preserve">□ DE.AE-08 □ Declare incidentes quando os eventos cumprirem critérios definidos. Confirmar propriedade, escopo, implementação, revisão, exceções, ação corretiva e operação repetitiva. Regras de correlação, alertas enriquecidos, análise de impacto, registro de declaração .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5"/>
    <w:bookmarkEnd w:id="66"/>
    <w:bookmarkStart w:id="67" w:name="função-de-resposta"/>
    <w:p>
      <w:pPr>
        <w:pStyle w:val="Heading1"/>
      </w:pPr>
      <w:r>
        <w:t xml:space="preserve">8. Função de Resposta</w:t>
      </w:r>
    </w:p>
    <w:p>
      <w:pPr>
        <w:numPr>
          <w:ilvl w:val="0"/>
          <w:numId w:val="1013"/>
        </w:numPr>
        <w:pStyle w:val="Compact"/>
      </w:pPr>
      <w:r>
        <w:t xml:space="preserve">Uma discriminação completa em linguagem simples de cada categoria e subcategoria RESPOND.*</w:t>
      </w:r>
    </w:p>
    <w:p>
      <w:pPr>
        <w:pStyle w:val="FirstParagraph"/>
      </w:pPr>
      <w:r>
        <w:t xml:space="preserve">□ ** Objectivo da função:** Gerenciar, analisar, comunicar, conter e erradicar incidentes declarados. □</w:t>
      </w:r>
      <w:r>
        <w:t xml:space="preserve"> </w:t>
      </w:r>
      <w:r>
        <w:t xml:space="preserve">O que é que se passa?</w:t>
      </w:r>
    </w:p>
    <w:bookmarkEnd w:id="67"/>
    <w:bookmarkStart w:id="69" w:name="gestão-de-incidentes-rs.ma"/>
    <w:p>
      <w:pPr>
        <w:pStyle w:val="Heading1"/>
      </w:pPr>
      <w:r>
        <w:t xml:space="preserve"># Gestão de incidentes (RS.MA)</w:t>
      </w:r>
    </w:p>
    <w:bookmarkStart w:id="68" w:name="X681659c797981093649596ac7f884866b3e4a1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RS.MA-01 execute o plano de resposta com terceiros relevantes após um incidente ser declarado.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RS.MA-02 □ Triagem e validação de relatórios de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O RS.MA-03 O Categorize e priorize incidentes.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□ RS.MA-04 • Escalar ou elevar incidentes quando necessário. Confirmar propriedade, escopo, implementação, revisão, exceções, ação corretiva e operação repetitiva. Plano de incidentes, bilhetes, triagem, prioridade, escalada, decisão de recuperação</w:t>
      </w:r>
      <w:r>
        <w:t xml:space="preserve"> </w:t>
      </w:r>
      <w:r>
        <w:t xml:space="preserve">RS.MA-05 (Aplicar critérios para começar a recuperação). Confirmar propriedade, escopo, implementação, revisão, exceções, ação corretiva e operação repetitiva. Plano de incidentes, bilhetes, triagem, prioridade, escalada, decisão de recuperação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68"/>
    <w:bookmarkEnd w:id="69"/>
    <w:bookmarkStart w:id="71" w:name="análise-de-incidentes-rs.an"/>
    <w:p>
      <w:pPr>
        <w:pStyle w:val="Heading1"/>
      </w:pPr>
      <w:r>
        <w:t xml:space="preserve"># Análise de incidentes (RS.AN)</w:t>
      </w:r>
    </w:p>
    <w:bookmarkStart w:id="70" w:name="X6cb85b4654088df1ed7ed06d6c24f7179d5dbc1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RS.AN-03 Determinar o que ocorreu e identificar a causa da raiz.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RS.AN-06 Gravar ações investigativas e preservar a integridade e procedência dos registros.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O RS.AN-07 Colete dados e metadados incidentes enquanto preserva a integridade e a proveniência. Confirmar propriedade, escopo, implementação, revisão, exceções, ação corretiva e operação repetitiva. linha do tempo, notas forenses, log de evidências, hashes, análise de causa raiz</w:t>
      </w:r>
      <w:r>
        <w:t xml:space="preserve"> </w:t>
      </w:r>
      <w:r>
        <w:t xml:space="preserve">□ RS.AN-08 □ Estimar e validar a magnitude do incidente. Confirmar propriedade, escopo, implementação, revisão, exceções, ação corretiva e operação repetitiva. linha do tempo, notas forenses, log de evidências, hashes, análise de causa raiz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0"/>
    <w:bookmarkEnd w:id="71"/>
    <w:bookmarkStart w:id="73" w:name="X4a9a0c3f7d1fa5fcff9d62158e4b12fd19ca924"/>
    <w:p>
      <w:pPr>
        <w:pStyle w:val="Heading1"/>
      </w:pPr>
      <w:r>
        <w:t xml:space="preserve"># Relatório e comunicação de resposta a incidentes (RS.CO)</w:t>
      </w:r>
    </w:p>
    <w:bookmarkStart w:id="72" w:name="Xc007d13897d989de753a3c253d4c143635e357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RS.CO-02 Notificar as partes interessadas internas e externas necessárias. Confirmar propriedade, escopo, implementação, revisão, exceções, ação corretiva e operação repetitiva. Matriz de notificação, mensagens, aprovações, registros de entrega</w:t>
      </w:r>
      <w:r>
        <w:t xml:space="preserve"> </w:t>
      </w:r>
      <w:r>
        <w:t xml:space="preserve">O RS.CO-03 Partilhar informações com as partes interessadas designadas. Confirmar propriedade, escopo, implementação, revisão, exceções, ação corretiva e operação repetitiva. Matriz de notificação, mensagens, aprovações, registros de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2"/>
    <w:bookmarkEnd w:id="73"/>
    <w:bookmarkStart w:id="75" w:name="mitigação-de-incidentes-rs.mi"/>
    <w:p>
      <w:pPr>
        <w:pStyle w:val="Heading1"/>
      </w:pPr>
      <w:r>
        <w:t xml:space="preserve"># Mitigação de incidentes (RS.MI)</w:t>
      </w:r>
    </w:p>
    <w:bookmarkStart w:id="74" w:name="X1a4b85796c13f342a2152b4a89e1049660c7b1d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RS.MI-01 . Confirmar propriedade, escopo, implementação, revisão, exceções, ação corretiva e operação repetitiva. Acções de contenção e erradicação, validação, decisão de risco residual</w:t>
      </w:r>
      <w:r>
        <w:t xml:space="preserve"> </w:t>
      </w:r>
      <w:r>
        <w:t xml:space="preserve">RS.MI-02 □ Erradicar incidentes. Confirmar propriedade, escopo, implementação, revisão, exceções, ação corretiva e operação repetitiva. Acções de contenção e erradicação, validação, decisão de risco residual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4"/>
    <w:bookmarkEnd w:id="75"/>
    <w:bookmarkStart w:id="77" w:name="função-de-recuperação"/>
    <w:p>
      <w:pPr>
        <w:pStyle w:val="Heading1"/>
      </w:pPr>
      <w:r>
        <w:t xml:space="preserve">9. Função de recuperação</w:t>
      </w:r>
    </w:p>
    <w:p>
      <w:pPr>
        <w:numPr>
          <w:ilvl w:val="0"/>
          <w:numId w:val="1014"/>
        </w:numPr>
        <w:pStyle w:val="Compact"/>
      </w:pPr>
      <w:r>
        <w:t xml:space="preserve">Uma desagregação completa em linguagem simples de cada categoria e subcategoria RECOVER.*</w:t>
      </w:r>
    </w:p>
    <w:bookmarkStart w:id="76" w:name="Xa884864d0e8baeb297da2533c6ebcd73fe20667"/>
    <w:p>
      <w:pPr>
        <w:pStyle w:val="Heading2"/>
      </w:pPr>
      <w:r>
        <w:t xml:space="preserve">□ ** Objectivo da função:** Restaurar ativos e operações e comunicar progresso de recuperação.</w:t>
      </w:r>
    </w:p>
    <w:bookmarkEnd w:id="76"/>
    <w:bookmarkEnd w:id="77"/>
    <w:bookmarkStart w:id="79" w:name="Xed21deea81e095561e2e8b03085e8e218ab4820"/>
    <w:p>
      <w:pPr>
        <w:pStyle w:val="Heading1"/>
      </w:pPr>
      <w:r>
        <w:t xml:space="preserve"># Plano de recuperação de incidentes Execução (RC.RP)</w:t>
      </w:r>
    </w:p>
    <w:bookmarkStart w:id="78" w:name="X71d1fea89ff57f4e4621ac5e5dbd590609c0478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O RC.RP-01 executa atividades de recuperação quando o processo de incidente inicia a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RC.RP-02 □ Selecione, escopo, priorize e execute ações de recuperação.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RC.RP-03 □ Verifique a integridade de backup e restauração antes da restauração.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• RC.RP-04 • Use as necessidades da missão e risco cibernético para estabelecer condições operacionais pós-incidentes.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RC.RP-05 □ Verifique os ativos restaurados, restaure o serviço e confirme o estado operacional normal. Confirmar propriedade, escopo, implementação, revisão, exceções, ação corretiva e operação repetitiva. Plano de recuperação, registros de restauração, verificações de integridade, validação de serviço, fechamento</w:t>
      </w:r>
      <w:r>
        <w:t xml:space="preserve"> </w:t>
      </w:r>
      <w:r>
        <w:t xml:space="preserve">□ RC.RP-06 □ Declare recuperação completa usando critérios e terminar documentação incidente. Confirmar propriedade, escopo, implementação, revisão, exceções, ação corretiva e operação repetitiva. Plano de recuperação, registros de restauração, verificações de integridade, validação de serviço, fechamento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78"/>
    <w:bookmarkEnd w:id="79"/>
    <w:bookmarkStart w:id="81" w:name="Xc1ae2973cb04b68a232c40765a1e68a099e9558"/>
    <w:p>
      <w:pPr>
        <w:pStyle w:val="Heading1"/>
      </w:pPr>
      <w:r>
        <w:t xml:space="preserve"># Comunicação de recuperação de incidentes (RC.CO)</w:t>
      </w:r>
    </w:p>
    <w:bookmarkStart w:id="80" w:name="X2f0127650472ef191475b5e21988b41d16ad59a"/>
    <w:p>
      <w:pPr>
        <w:pStyle w:val="Heading2"/>
      </w:pPr>
      <w:r>
        <w:t xml:space="preserve">Resultado** Resultado** Significado do plano** Verificação do gestor ou analista** Exemplo de evidência**</w:t>
      </w:r>
    </w:p>
    <w:p>
      <w:pPr>
        <w:pStyle w:val="FirstParagraph"/>
      </w:pPr>
      <w:r>
        <w:t xml:space="preserve">□ RC.CO-03 □ Comunicar o progresso da recuperação e a capacidade restaurada aos stakeholders designados. Confirmar propriedade, escopo, implementação, revisão, exceções, ação corretiva e operação repetitiva. As atualizações dos stakeholders, as mensagens públicas aprovadas, a prova da entrega</w:t>
      </w:r>
      <w:r>
        <w:t xml:space="preserve"> </w:t>
      </w:r>
      <w:r>
        <w:t xml:space="preserve">O RC.CO-04 O que está acontecendo? Confirmar propriedade, escopo, implementação, revisão, exceções, ação corretiva e operação repetitiva. As atualizações dos stakeholders, as mensagens públicas aprovadas, a prova da entrega</w:t>
      </w:r>
    </w:p>
    <w:p>
      <w:pPr>
        <w:pStyle w:val="BodyText"/>
      </w:pPr>
      <w:r>
        <w:rPr>
          <w:iCs/>
          <w:i/>
        </w:rPr>
        <w:t xml:space="preserve">Importante: Resultados CSF não são uma lista de verificação de tecnologias necessárias. Selecione métodos de implementação e controles de acordo com o risco, missão, obrigações, recursos e o perfil alvo escopo.</w:t>
      </w:r>
    </w:p>
    <w:bookmarkEnd w:id="80"/>
    <w:bookmarkEnd w:id="81"/>
    <w:bookmarkStart w:id="86" w:name="perfil-organizacional"/>
    <w:p>
      <w:pPr>
        <w:pStyle w:val="Heading1"/>
      </w:pPr>
      <w:r>
        <w:t xml:space="preserve">10. Perfil Organizacional</w:t>
      </w:r>
    </w:p>
    <w:p>
      <w:pPr>
        <w:numPr>
          <w:ilvl w:val="0"/>
          <w:numId w:val="1015"/>
        </w:numPr>
        <w:pStyle w:val="Compact"/>
      </w:pPr>
      <w:r>
        <w:t xml:space="preserve">Como descrever a postura atual, definir um alvo e construir um plano de ação priorizado.*</w:t>
      </w:r>
    </w:p>
    <w:p>
      <w:pPr>
        <w:pStyle w:val="FirstParagraph"/>
      </w:pPr>
    </w:p>
    <w:p>
      <w:pPr>
        <w:pStyle w:val="BodyText"/>
      </w:pPr>
      <w:r>
        <w:t xml:space="preserve">Figura 3. Perfil atual do plano de ação</w:t>
      </w:r>
    </w:p>
    <w:bookmarkStart w:id="82" w:name="declaração-de-escopo-de-perfil"/>
    <w:p>
      <w:pPr>
        <w:pStyle w:val="Heading2"/>
      </w:pPr>
      <w:r>
        <w:t xml:space="preserve">10.1 Declaração de escopo de perfil</w:t>
      </w:r>
    </w:p>
    <w:p>
      <w:pPr>
        <w:numPr>
          <w:ilvl w:val="0"/>
          <w:numId w:val="1016"/>
        </w:numPr>
      </w:pPr>
      <w:r>
        <w:t xml:space="preserve">Negócios ou missão</w:t>
      </w:r>
    </w:p>
    <w:p>
      <w:pPr>
        <w:numPr>
          <w:ilvl w:val="0"/>
          <w:numId w:val="1016"/>
        </w:numPr>
      </w:pPr>
      <w:r>
        <w:t xml:space="preserve">Sistemas, serviços, dados, instalações, pessoas, fornecedores e locais incluídos</w:t>
      </w:r>
    </w:p>
    <w:p>
      <w:pPr>
        <w:numPr>
          <w:ilvl w:val="0"/>
          <w:numId w:val="1016"/>
        </w:numPr>
      </w:pPr>
      <w:r>
        <w:t xml:space="preserve">Período e data da prova</w:t>
      </w:r>
    </w:p>
    <w:p>
      <w:pPr>
        <w:numPr>
          <w:ilvl w:val="0"/>
          <w:numId w:val="1016"/>
        </w:numPr>
      </w:pPr>
      <w:r>
        <w:t xml:space="preserve">Interessados e autoridade de decisão</w:t>
      </w:r>
    </w:p>
    <w:p>
      <w:pPr>
        <w:numPr>
          <w:ilvl w:val="0"/>
          <w:numId w:val="1016"/>
        </w:numPr>
      </w:pPr>
      <w:r>
        <w:t xml:space="preserve">Inputs de perfil jurídico, contratual, político e comunitário</w:t>
      </w:r>
    </w:p>
    <w:p>
      <w:pPr>
        <w:numPr>
          <w:ilvl w:val="0"/>
          <w:numId w:val="1016"/>
        </w:numPr>
      </w:pPr>
      <w:r>
        <w:t xml:space="preserve">Suposições, exclusões, dependências e limitações</w:t>
      </w:r>
    </w:p>
    <w:bookmarkEnd w:id="82"/>
    <w:bookmarkStart w:id="83" w:name="situação-dos-resultados"/>
    <w:p>
      <w:pPr>
        <w:pStyle w:val="Heading2"/>
      </w:pPr>
      <w:r>
        <w:t xml:space="preserve">10.2 Situação dos resultados</w:t>
      </w:r>
    </w:p>
    <w:bookmarkEnd w:id="83"/>
    <w:bookmarkStart w:id="84" w:name="section"/>
    <w:p>
      <w:pPr>
        <w:pStyle w:val="Heading2"/>
      </w:pPr>
      <w:r>
        <w:t xml:space="preserve">* * * * * * * * * * * * * * * * * * * * * * * * * * * * * * *</w:t>
      </w:r>
    </w:p>
    <w:p>
      <w:pPr>
        <w:pStyle w:val="FirstParagraph"/>
      </w:pPr>
      <w:r>
        <w:t xml:space="preserve">Realizado O resultado de escopo é implementado e operacional como pretendido Proprietário, população completa, projeto, evidência operacional, teste e conclusão</w:t>
      </w:r>
      <w:r>
        <w:t xml:space="preserve"> </w:t>
      </w:r>
      <w:r>
        <w:t xml:space="preserve">□ Alcançado parcialmente □ Falta algum escopo ou operação ou incoerência</w:t>
      </w:r>
      <w:r>
        <w:t xml:space="preserve"> </w:t>
      </w:r>
      <w:r>
        <w:t xml:space="preserve">Não alcançado O resultado é aplicável, mas não está em operação.</w:t>
      </w:r>
      <w:r>
        <w:t xml:space="preserve"> </w:t>
      </w:r>
      <w:r>
        <w:t xml:space="preserve">Não aplicável O resultado não se aplica a este âmbito definido .</w:t>
      </w:r>
      <w:r>
        <w:t xml:space="preserve"> </w:t>
      </w:r>
      <w:r>
        <w:t xml:space="preserve">□ Não avaliado □ As provas são insuficientes para uma conclusão</w:t>
      </w:r>
    </w:p>
    <w:bookmarkEnd w:id="84"/>
    <w:bookmarkStart w:id="85" w:name="priorização-da-gap"/>
    <w:p>
      <w:pPr>
        <w:pStyle w:val="Heading2"/>
      </w:pPr>
      <w:r>
        <w:t xml:space="preserve">10.3 Priorização da gap</w:t>
      </w:r>
    </w:p>
    <w:p>
      <w:pPr>
        <w:pStyle w:val="FirstParagraph"/>
      </w:pPr>
      <w:r>
        <w:t xml:space="preserve">Priorizar lacunas usando impacto da missão, probabilidade de ameaça, criticidade de ativos, obrigações legais e contratuais, exposição, dependências, segurança, privacidade, controles atuais, tempo para explorar, esforço de remediação e recursos disponíveis. Não ranqueie as lacunas apenas pela etiqueta de severidade de um scanner.</w:t>
      </w:r>
    </w:p>
    <w:bookmarkEnd w:id="85"/>
    <w:bookmarkEnd w:id="86"/>
    <w:bookmarkStart w:id="88" w:name="csf-níveis"/>
    <w:p>
      <w:pPr>
        <w:pStyle w:val="Heading1"/>
      </w:pPr>
      <w:r>
        <w:t xml:space="preserve">11. CSF Níveis</w:t>
      </w:r>
    </w:p>
    <w:p>
      <w:pPr>
        <w:pStyle w:val="FirstParagraph"/>
      </w:pPr>
      <w:r>
        <w:rPr>
          <w:iCs/>
          <w:i/>
        </w:rPr>
        <w:t xml:space="preserve">Usando Parcial, Risco Informado, Repetido e Adaptativo sem transformá-los em uma pontuação.</w:t>
      </w:r>
    </w:p>
    <w:p>
      <w:pPr>
        <w:pStyle w:val="BodyText"/>
      </w:pPr>
    </w:p>
    <w:p>
      <w:pPr>
        <w:pStyle w:val="BodyText"/>
      </w:pPr>
      <w:r>
        <w:t xml:space="preserve">Figura 4. CSF Níveis</w:t>
      </w:r>
    </w:p>
    <w:bookmarkStart w:id="87" w:name="section-1"/>
    <w:p>
      <w:pPr>
        <w:pStyle w:val="Heading2"/>
      </w:pPr>
      <w:r>
        <w:t xml:space="preserve">. . . . . . . . . . . . . . . . . . . . . . . . . . . . . . . . . . . . . .</w:t>
      </w:r>
    </w:p>
    <w:p>
      <w:pPr>
        <w:pStyle w:val="FirstParagraph"/>
      </w:pPr>
      <w:r>
        <w:t xml:space="preserve">O nível 1 — As práticas são amplamente ad hoc, irregular e inconsistentemente informadas por objectivos ou ameaças. Exemplos de decisões caso a caso e processos de organização em falta</w:t>
      </w:r>
      <w:r>
        <w:t xml:space="preserve"> </w:t>
      </w:r>
      <w:r>
        <w:t xml:space="preserve">Nível 2 — Risco Informado A Gestão aprova práticas de risco, mas não são consistentemente estabelecidas em toda a organização. □ Práticas aprovadas, implementação local, risco parcial e sensibilização do fornecedor</w:t>
      </w:r>
      <w:r>
        <w:t xml:space="preserve"> </w:t>
      </w:r>
      <w:r>
        <w:t xml:space="preserve">Nível 3 — Políticas e práticas repetitivas são definidas, implementadas, revisadas e atualizadas em toda a organização. □ Política aprovada, execução consistente, papéis qualificados, compartilhamento regular de informações e ação do fornecedor</w:t>
      </w:r>
      <w:r>
        <w:t xml:space="preserve"> </w:t>
      </w:r>
      <w:r>
        <w:t xml:space="preserve">O nível 4 — Adaptive A gestão de riscos faz parte da cultura e adapta-se utilizando lições, informação preditiva e consciência quase em tempo real. • Decisões integradas em matéria de MTC, controlos adaptativos, melhoria contínua e acção atempada em matéria de risco para os fornecedores</w:t>
      </w:r>
    </w:p>
    <w:p>
      <w:pPr>
        <w:numPr>
          <w:ilvl w:val="0"/>
          <w:numId w:val="1017"/>
        </w:numPr>
      </w:pPr>
      <w:r>
        <w:t xml:space="preserve">Escolha níveis para um escopo de perfil definido, não como uma vaga etiqueta empresarial.</w:t>
      </w:r>
    </w:p>
    <w:p>
      <w:pPr>
        <w:numPr>
          <w:ilvl w:val="0"/>
          <w:numId w:val="1017"/>
        </w:numPr>
      </w:pPr>
      <w:r>
        <w:t xml:space="preserve">Use risco, missão, obrigações, custo e benefício para escolher o Nível alvo.</w:t>
      </w:r>
    </w:p>
    <w:p>
      <w:pPr>
        <w:numPr>
          <w:ilvl w:val="0"/>
          <w:numId w:val="1017"/>
        </w:numPr>
      </w:pPr>
      <w:r>
        <w:t xml:space="preserve">Não a média dos números de nível em uma pontuação enganosa.</w:t>
      </w:r>
    </w:p>
    <w:p>
      <w:pPr>
        <w:numPr>
          <w:ilvl w:val="0"/>
          <w:numId w:val="1017"/>
        </w:numPr>
      </w:pPr>
      <w:r>
        <w:t xml:space="preserve">Documentar provas e diferenças entre as funções.</w:t>
      </w:r>
    </w:p>
    <w:p>
      <w:pPr>
        <w:numPr>
          <w:ilvl w:val="0"/>
          <w:numId w:val="1017"/>
        </w:numPr>
      </w:pPr>
      <w:r>
        <w:t xml:space="preserve">Reavaliar quando o risco, missão, fornecedores ou tecnologia muda materialmente.</w:t>
      </w:r>
    </w:p>
    <w:bookmarkEnd w:id="87"/>
    <w:bookmarkEnd w:id="88"/>
    <w:bookmarkStart w:id="91" w:name="X58bd52aa1aa1142756f9c5c777f80da929c8fbd"/>
    <w:p>
      <w:pPr>
        <w:pStyle w:val="Heading1"/>
      </w:pPr>
      <w:r>
        <w:t xml:space="preserve">12. Risco Empresarial, Apetite de Risco e Comunicação</w:t>
      </w:r>
    </w:p>
    <w:p>
      <w:pPr>
        <w:numPr>
          <w:ilvl w:val="0"/>
          <w:numId w:val="1018"/>
        </w:numPr>
        <w:pStyle w:val="Compact"/>
      </w:pPr>
      <w:r>
        <w:t xml:space="preserve">Conectando a cibersegurança com decisões executivas e de conselho.*</w:t>
      </w:r>
    </w:p>
    <w:p>
      <w:pPr>
        <w:pStyle w:val="FirstParagraph"/>
      </w:pPr>
      <w:r>
        <w:t xml:space="preserve">Concepção** Concepção** Concepção** Concepção**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  <w:r>
        <w:t xml:space="preserve"> </w:t>
      </w:r>
      <w:r>
        <w:t xml:space="preserve">O apetite de risco A quantidade ampla e o tipo de risco que a organização está disposta a perseguir ou manter.</w:t>
      </w:r>
      <w:r>
        <w:t xml:space="preserve"> </w:t>
      </w:r>
      <w:r>
        <w:t xml:space="preserve">• Tolerância de risco • Variação aceitável específica em torno dos objectivos • Não mais do que quatro horas de interrupção para um serviço crítico definido</w:t>
      </w:r>
      <w:r>
        <w:t xml:space="preserve"> </w:t>
      </w:r>
      <w:r>
        <w:t xml:space="preserve">Risco inerente antes de considerar os controles Serviço voltado para a Internet com dados valiosos e ameaças ativas</w:t>
      </w:r>
      <w:r>
        <w:t xml:space="preserve"> </w:t>
      </w:r>
      <w:r>
        <w:t xml:space="preserve">Risco residual .. Risco remanescente após os controlos .</w:t>
      </w:r>
      <w:r>
        <w:t xml:space="preserve"> </w:t>
      </w:r>
      <w:r>
        <w:t xml:space="preserve">Responder ao risco Aceitar, evitar, mitigar, transferir/compartilhar, ou procurar oportunidades; Aposentar software não suportado, reduzir a exposição, assegurar uma porção residual;</w:t>
      </w:r>
      <w:r>
        <w:t xml:space="preserve"> </w:t>
      </w:r>
      <w:r>
        <w:t xml:space="preserve">Oportunidade que pode melhorar os objetivos</w:t>
      </w:r>
    </w:p>
    <w:bookmarkStart w:id="89" w:name="declaração-de-risco-executiva"/>
    <w:p>
      <w:pPr>
        <w:pStyle w:val="Heading2"/>
      </w:pPr>
      <w:r>
        <w:t xml:space="preserve">12.1 Declaração de risco executiva</w:t>
      </w:r>
    </w:p>
    <w:p>
      <w:pPr>
        <w:pStyle w:val="FirstParagraph"/>
      </w:pPr>
      <w:r>
        <w:t xml:space="preserve">Como [ameaça] poderia explorar [vulnerabilidade] afetando [ativo ou objetivo], a organização pode experimentar [impacto empresarial]. Os controlos existentes [summary] deixam [exposição residual]. A gestão deve [resposta] por [data], propriedade de [role], e monitorar [medida].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9"/>
    <w:bookmarkStart w:id="90" w:name="perguntas-a-nível-de-conselho"/>
    <w:p>
      <w:pPr>
        <w:pStyle w:val="Heading2"/>
      </w:pPr>
      <w:r>
        <w:t xml:space="preserve">12.2 Perguntas a nível de conselho</w:t>
      </w:r>
    </w:p>
    <w:p>
      <w:pPr>
        <w:numPr>
          <w:ilvl w:val="0"/>
          <w:numId w:val="1019"/>
        </w:numPr>
      </w:pPr>
      <w:r>
        <w:t xml:space="preserve">Quais objetivos da missão e serviços críticos enfrentam o maior risco cibernético?</w:t>
      </w:r>
    </w:p>
    <w:p>
      <w:pPr>
        <w:numPr>
          <w:ilvl w:val="0"/>
          <w:numId w:val="1019"/>
        </w:numPr>
      </w:pPr>
      <w:r>
        <w:t xml:space="preserve">Que risco excede o apetite ou a tolerância?</w:t>
      </w:r>
    </w:p>
    <w:p>
      <w:pPr>
        <w:numPr>
          <w:ilvl w:val="0"/>
          <w:numId w:val="1019"/>
        </w:numPr>
      </w:pPr>
      <w:r>
        <w:t xml:space="preserve">Que decisões requerem financiamento ou aceitação de riscos?</w:t>
      </w:r>
    </w:p>
    <w:p>
      <w:pPr>
        <w:numPr>
          <w:ilvl w:val="0"/>
          <w:numId w:val="1019"/>
        </w:numPr>
      </w:pPr>
      <w:r>
        <w:t xml:space="preserve">Qual é a fiabilidade das provas?</w:t>
      </w:r>
    </w:p>
    <w:p>
      <w:pPr>
        <w:numPr>
          <w:ilvl w:val="0"/>
          <w:numId w:val="1019"/>
        </w:numPr>
      </w:pPr>
      <w:r>
        <w:t xml:space="preserve">Onde estão as concentrações de fornecedores e pontos únicos de falha?</w:t>
      </w:r>
    </w:p>
    <w:p>
      <w:pPr>
        <w:numPr>
          <w:ilvl w:val="0"/>
          <w:numId w:val="1019"/>
        </w:numPr>
      </w:pPr>
      <w:r>
        <w:t xml:space="preserve">O que é que os incidentes, exercícios, auditorias, e quase faltas nos ensinaram?</w:t>
      </w:r>
    </w:p>
    <w:p>
      <w:pPr>
        <w:numPr>
          <w:ilvl w:val="0"/>
          <w:numId w:val="1019"/>
        </w:numPr>
      </w:pPr>
      <w:r>
        <w:t xml:space="preserve">As capacidades de recuperação são comprovadas para os serviços mais importantes?</w:t>
      </w:r>
    </w:p>
    <w:bookmarkEnd w:id="90"/>
    <w:bookmarkEnd w:id="91"/>
    <w:bookmarkStart w:id="92" w:name="X1fa273149650dca3561518a5b037d94a45384c2"/>
    <w:p>
      <w:pPr>
        <w:pStyle w:val="Heading1"/>
      </w:pPr>
      <w:r>
        <w:t xml:space="preserve">13. Risco da cadeia de suprimentos de segurança cibernética</w:t>
      </w:r>
    </w:p>
    <w:p>
      <w:pPr>
        <w:numPr>
          <w:ilvl w:val="0"/>
          <w:numId w:val="1020"/>
        </w:numPr>
        <w:pStyle w:val="Compact"/>
      </w:pPr>
      <w:r>
        <w:t xml:space="preserve">Gerenciando fornecedores, produtos, serviços e dependências ao longo do ciclo de vida.*</w:t>
      </w:r>
    </w:p>
    <w:p>
      <w:pPr>
        <w:pStyle w:val="FirstParagraph"/>
      </w:pPr>
    </w:p>
    <w:p>
      <w:pPr>
        <w:pStyle w:val="BodyText"/>
      </w:pPr>
      <w:r>
        <w:t xml:space="preserve">Figura 5. Ciclo de vida de segurança cibernética da cadeia de abastecimento</w:t>
      </w:r>
    </w:p>
    <w:p>
      <w:pPr>
        <w:numPr>
          <w:ilvl w:val="0"/>
          <w:numId w:val="1021"/>
        </w:numPr>
      </w:pPr>
      <w:r>
        <w:t xml:space="preserve">Fornecedores de inventário, subcontratantes, produtos, serviços, fluxos de dados, acesso, locais e dependências.</w:t>
      </w:r>
    </w:p>
    <w:p>
      <w:pPr>
        <w:numPr>
          <w:ilvl w:val="0"/>
          <w:numId w:val="1021"/>
        </w:numPr>
      </w:pPr>
      <w:r>
        <w:t xml:space="preserve">Relações de nível por criticidade, sensibilidade, acesso, substituibilidade, concentração, segurança e impacto operacional.</w:t>
      </w:r>
    </w:p>
    <w:p>
      <w:pPr>
        <w:numPr>
          <w:ilvl w:val="0"/>
          <w:numId w:val="1021"/>
        </w:numPr>
      </w:pPr>
      <w:r>
        <w:t xml:space="preserve">Execute diligência proporcional antes da compra ou renovação.</w:t>
      </w:r>
    </w:p>
    <w:p>
      <w:pPr>
        <w:numPr>
          <w:ilvl w:val="0"/>
          <w:numId w:val="1021"/>
        </w:numPr>
      </w:pPr>
      <w:r>
        <w:t xml:space="preserve">Coloque funções mensuráveis de cibersegurança, incidente, notificação, evidência, subcontratante, resiliência, retorno e destruição em acordos.</w:t>
      </w:r>
    </w:p>
    <w:p>
      <w:pPr>
        <w:numPr>
          <w:ilvl w:val="0"/>
          <w:numId w:val="1021"/>
        </w:numPr>
      </w:pPr>
      <w:r>
        <w:t xml:space="preserve">Monitorar mudanças, achados, incidentes, saúde financeira, desempenho de serviços e dependências materiais de quarta parte.</w:t>
      </w:r>
    </w:p>
    <w:p>
      <w:pPr>
        <w:numPr>
          <w:ilvl w:val="0"/>
          <w:numId w:val="1021"/>
        </w:numPr>
      </w:pPr>
      <w:r>
        <w:t xml:space="preserve">Inclua terceiros críticos em exercícios, resposta, recuperação e comunicação.</w:t>
      </w:r>
    </w:p>
    <w:p>
      <w:pPr>
        <w:numPr>
          <w:ilvl w:val="0"/>
          <w:numId w:val="1021"/>
        </w:numPr>
      </w:pPr>
      <w:r>
        <w:t xml:space="preserve">Na saída, remover o acesso, recuperar ativos, devolver ou destruir dados, transferir conhecimento, preservar registros necessários e validar a conclusão.</w:t>
      </w:r>
    </w:p>
    <w:p>
      <w:pPr>
        <w:pStyle w:val="FirstParagraph"/>
      </w:pPr>
      <w:r>
        <w:t xml:space="preserve">Aviso de contrato: ** Um questionário ou cláusula contratual não prova que os controlos de um fornecedor funcionem. Combine direitos contratuais com evidências baseadas em risco, monitoramento, informações de incidentes e acompanhamento de ações corretivas.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2"/>
    <w:bookmarkStart w:id="94" w:name="métricas-evidências-e-relatórios"/>
    <w:p>
      <w:pPr>
        <w:pStyle w:val="Heading1"/>
      </w:pPr>
      <w:r>
        <w:t xml:space="preserve">14. Métricas, Evidências e Relatórios</w:t>
      </w:r>
    </w:p>
    <w:p>
      <w:pPr>
        <w:numPr>
          <w:ilvl w:val="0"/>
          <w:numId w:val="1022"/>
        </w:numPr>
        <w:pStyle w:val="Compact"/>
      </w:pPr>
      <w:r>
        <w:t xml:space="preserve">Medidas que suportam decisões em vez de produzir painéis decorativos.*</w:t>
      </w:r>
    </w:p>
    <w:bookmarkStart w:id="93" w:name="X59d2092c347100e86aa3d7a848099744ade49cc"/>
    <w:p>
      <w:pPr>
        <w:pStyle w:val="Heading2"/>
      </w:pPr>
      <w:r>
        <w:t xml:space="preserve">** ** Tipo de medida** ** Pergunta respondida** ** Exemplo**</w:t>
      </w:r>
    </w:p>
    <w:p>
      <w:pPr>
        <w:pStyle w:val="FirstParagraph"/>
      </w:pPr>
      <w:r>
        <w:t xml:space="preserve">• Medida de implementação Percentagem de contas privilegiadas no âmbito utilizando MFA resistente ao phishing</w:t>
      </w:r>
      <w:r>
        <w:t xml:space="preserve"> </w:t>
      </w:r>
      <w:r>
        <w:t xml:space="preserve">□ Medida de funcionamento Funciona de forma consistente? Percentagem de contas encerradas desactivadas dentro do prazo aprovado</w:t>
      </w:r>
      <w:r>
        <w:t xml:space="preserve"> </w:t>
      </w:r>
      <w:r>
        <w:t xml:space="preserve">Indicador de risco A exposição está a aumentar? □ Vulnerabilidades críticas no passado prazo baseado no risco em activos virados para a Internet</w:t>
      </w:r>
      <w:r>
        <w:t xml:space="preserve"> </w:t>
      </w:r>
      <w:r>
        <w:t xml:space="preserve">□ Medida de resultado O resultado desejado está ocorrendo? Redução de eventos de acesso não autorizados para o serviço escopo</w:t>
      </w:r>
      <w:r>
        <w:t xml:space="preserve"> </w:t>
      </w:r>
      <w:r>
        <w:t xml:space="preserve">□ Medida de resiliência; Pode a organização continuar e recuperar? Percentagem de restaurações de serviços críticos que cumprem os objectivos de recuperação</w:t>
      </w:r>
      <w:r>
        <w:t xml:space="preserve"> </w:t>
      </w:r>
      <w:r>
        <w:t xml:space="preserve">□ Medida de qualidade de evidência □ O estado relatado pode ser confiável? Percentagem de conclusões de resultados apoiadas por populações completas e testes independentes</w:t>
      </w:r>
    </w:p>
    <w:p>
      <w:pPr>
        <w:pStyle w:val="BodyText"/>
      </w:pPr>
    </w:p>
    <w:p>
      <w:pPr>
        <w:pStyle w:val="BodyText"/>
      </w:pPr>
      <w:r>
        <w:t xml:space="preserve">Figura 6. Cadeia de resultado à evidência</w:t>
      </w:r>
    </w:p>
    <w:bookmarkEnd w:id="93"/>
    <w:bookmarkEnd w:id="94"/>
    <w:bookmarkStart w:id="96" w:name="qualidade-das-provas"/>
    <w:p>
      <w:pPr>
        <w:pStyle w:val="Heading1"/>
      </w:pPr>
      <w:r>
        <w:t xml:space="preserve"># 14,1 Qualidade das provas</w:t>
      </w:r>
    </w:p>
    <w:p>
      <w:pPr>
        <w:numPr>
          <w:ilvl w:val="0"/>
          <w:numId w:val="1023"/>
        </w:numPr>
        <w:pStyle w:val="Heading2"/>
      </w:pPr>
      <w:bookmarkStart w:id="95" w:name="qualidade-exemplo-resposta-do-analista"/>
      <w:r>
        <w:t xml:space="preserve">Qualidade** * Exemplo** ** ** Resposta do analista**</w:t>
      </w:r>
      <w:bookmarkEnd w:id="95"/>
    </w:p>
    <w:p>
      <w:pPr>
        <w:numPr>
          <w:ilvl w:val="0"/>
          <w:numId w:val="1000"/>
        </w:numPr>
        <w:pStyle w:val="Compact"/>
      </w:pPr>
      <w:r>
        <w:t xml:space="preserve">□ Fraca declaração verbal, captura de tela sem data, exportação parcial, resumo não suportado □ Solicitar fonte, data, escopo, população, proprietário, revisor e identidade do sistema</w:t>
      </w:r>
      <w:r>
        <w:t xml:space="preserve"> </w:t>
      </w:r>
      <w:r>
        <w:t xml:space="preserve">□ Relatório útil do sistema Datado ligado ao escopo e período corretos</w:t>
      </w:r>
      <w:r>
        <w:t xml:space="preserve"> </w:t>
      </w:r>
      <w:r>
        <w:t xml:space="preserve">Dados fortes do sistema mais revisão independente, decisões, ação corretiva, e reteste</w:t>
      </w:r>
    </w:p>
    <w:bookmarkEnd w:id="96"/>
    <w:bookmarkStart w:id="99" w:name="X1b717d891432385a66fddc08ba9cccf8ef6ec99"/>
    <w:p>
      <w:pPr>
        <w:pStyle w:val="Heading1"/>
      </w:pPr>
      <w:r>
        <w:t xml:space="preserve">15. Verificação de conformidade e testes de controle</w:t>
      </w:r>
    </w:p>
    <w:p>
      <w:pPr>
        <w:numPr>
          <w:ilvl w:val="0"/>
          <w:numId w:val="1024"/>
        </w:numPr>
        <w:pStyle w:val="Compact"/>
      </w:pPr>
      <w:r>
        <w:t xml:space="preserve">Como determinar se um resultado CSF escopo é realmente alcançado.*</w:t>
      </w:r>
    </w:p>
    <w:p>
      <w:pPr>
        <w:pStyle w:val="FirstParagraph"/>
      </w:pPr>
      <w:r>
        <w:t xml:space="preserve">Distinção importante:** O alinhamento CSF não é automaticamente conformidade legal, certificação ou um parecer de auditoria. Teste as obrigações reais e controles que se aplicam à organização, em seguida, use CSF resultados para organizar e comunicar resultados.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□———————————————————————————————————————————————————————————————————————– (————————————–</w:t>
      </w:r>
    </w:p>
    <w:p>
      <w:pPr>
        <w:numPr>
          <w:ilvl w:val="0"/>
          <w:numId w:val="1025"/>
        </w:numPr>
      </w:pPr>
      <w:r>
        <w:t xml:space="preserve">Defina o resultado CSF escopo, risco, controle, proprietário, sistemas, locais, população, período, frequência e evidência esperada.</w:t>
      </w:r>
    </w:p>
    <w:p>
      <w:pPr>
        <w:numPr>
          <w:ilvl w:val="0"/>
          <w:numId w:val="1025"/>
        </w:numPr>
      </w:pPr>
      <w:r>
        <w:t xml:space="preserve">Avaliar o desenho do controle: o controle, se realizado como descrito, alcançaria razoavelmente o resultado pretendido?</w:t>
      </w:r>
    </w:p>
    <w:p>
      <w:pPr>
        <w:numPr>
          <w:ilvl w:val="0"/>
          <w:numId w:val="1025"/>
        </w:numPr>
      </w:pPr>
      <w:r>
        <w:t xml:space="preserve">Obter a população completa e testar sua completude e precisão contra uma fonte independente.</w:t>
      </w:r>
    </w:p>
    <w:p>
      <w:pPr>
        <w:numPr>
          <w:ilvl w:val="0"/>
          <w:numId w:val="1025"/>
        </w:numPr>
      </w:pPr>
      <w:r>
        <w:t xml:space="preserve">Escolha uma amostra baseada em risco cobrindo datas relevantes, sistemas, proprietários, locais, itens incomuns, e falhas.</w:t>
      </w:r>
    </w:p>
    <w:p>
      <w:pPr>
        <w:numPr>
          <w:ilvl w:val="0"/>
          <w:numId w:val="1025"/>
        </w:numPr>
      </w:pPr>
      <w:r>
        <w:t xml:space="preserve">Inspecione as evidências e, quando prático, reflita ou confirme de forma independente o resultado do controle.</w:t>
      </w:r>
    </w:p>
    <w:p>
      <w:pPr>
        <w:numPr>
          <w:ilvl w:val="0"/>
          <w:numId w:val="1025"/>
        </w:numPr>
      </w:pPr>
      <w:r>
        <w:t xml:space="preserve">Gravar exceções com critérios exatos, fatos, duração, ativos afetados, causa, probabilidade, impacto e proteção existente.</w:t>
      </w:r>
    </w:p>
    <w:p>
      <w:pPr>
        <w:numPr>
          <w:ilvl w:val="0"/>
          <w:numId w:val="1025"/>
        </w:numPr>
      </w:pPr>
      <w:r>
        <w:t xml:space="preserve">Atribuir medidas corretivas, proteção provisória, proprietário, recursos, data de vencimento e escalada.</w:t>
      </w:r>
    </w:p>
    <w:p>
      <w:pPr>
        <w:numPr>
          <w:ilvl w:val="0"/>
          <w:numId w:val="1025"/>
        </w:numPr>
      </w:pPr>
      <w:r>
        <w:t xml:space="preserve">Teste novamente a correção em toda a população afetada e escreva uma conclusão clara com limitações.</w:t>
      </w:r>
    </w:p>
    <w:bookmarkStart w:id="98" w:name="testes-práticos-de-verificação"/>
    <w:p>
      <w:pPr>
        <w:pStyle w:val="Heading2"/>
      </w:pPr>
      <w:r>
        <w:t xml:space="preserve">15.1 Testes práticos de verificação</w:t>
      </w:r>
    </w:p>
    <w:p>
      <w:pPr>
        <w:numPr>
          <w:ilvl w:val="0"/>
          <w:numId w:val="1026"/>
        </w:numPr>
        <w:pStyle w:val="Heading2"/>
      </w:pPr>
      <w:bookmarkStart w:id="97" w:name="Xe8ef689d1b474af705ba22cdf64733ec247f50b"/>
      <w:r>
        <w:t xml:space="preserve">** Área de controlo**</w:t>
      </w:r>
      <w:r>
        <w:t xml:space="preserve"> </w:t>
      </w:r>
      <w:r>
        <w:rPr>
          <w:bCs/>
          <w:b/>
        </w:rPr>
        <w:t xml:space="preserve">População e amostra</w:t>
      </w:r>
      <w:r>
        <w:t xml:space="preserve"> </w:t>
      </w:r>
      <w:r>
        <w:t xml:space="preserve">** Procedimento de teste** ** Evidência**</w:t>
      </w:r>
      <w:bookmarkEnd w:id="97"/>
    </w:p>
    <w:p>
      <w:pPr>
        <w:numPr>
          <w:ilvl w:val="0"/>
          <w:numId w:val="1000"/>
        </w:numPr>
        <w:pStyle w:val="Compact"/>
      </w:pPr>
      <w:r>
        <w:t xml:space="preserve">Todos os ativos no escopo; amostra crítica, nova, nuvem, remoto, fornecedor-gerido, e itens aposentados; inventário reconcile com identidade, rede, nuvem, aquisição, vulnerabilidade, e fontes de endpoint; Exportações, reconciliação, propriedade, lacunas, correção e reteste;</w:t>
      </w:r>
      <w:r>
        <w:t xml:space="preserve"> </w:t>
      </w:r>
      <w:r>
        <w:t xml:space="preserve">□ Acesse o ciclo de vida □ Todos os joiners, moderadores, leavers, serviços e contas privilegiadas □ Compare aprovações e necessidade de papel com provisionamento, revisão, mudança e remoções de timestamps</w:t>
      </w:r>
      <w:r>
        <w:t xml:space="preserve"> </w:t>
      </w:r>
      <w:r>
        <w:t xml:space="preserve">Todos os ativos e achados; amostra crítica, alta, idade, itens aceitos e fechados; Validar a cobertura e credenciais, confirmar os resultados, prazos, correção, exceção e rescan Inventário, escanear configuração, relatório, tickets, aprovações, rescan</w:t>
      </w:r>
      <w:r>
        <w:t xml:space="preserve"> </w:t>
      </w:r>
      <w:r>
        <w:t xml:space="preserve">Todas as fontes de log, alertas, avaliações e incidentes necessários ..Testar a cobertura da fonte, tempo, regra, geração de alerta, revisão, escalada e retenção .. Lista de fontes, configuração, alerta, ticket, revisão e fechamento ..</w:t>
      </w:r>
      <w:r>
        <w:t xml:space="preserve"> </w:t>
      </w:r>
      <w:r>
        <w:t xml:space="preserve">Todos os trabalhos de backup e testes necessários; sucesso de amostra, falha e serviços críticos □ Inspecione proteção, resposta à falha, restauração, integridade, objetivos de recuperação e lições □ Empregos, alertas, restaurar saída, exercício, correção, reteste</w:t>
      </w:r>
      <w:r>
        <w:t xml:space="preserve"> </w:t>
      </w:r>
      <w:r>
        <w:t xml:space="preserve">• Superintendência do fornecedor • Todos os fornecedores; amostra crítica, nova, alterada, envolvida em incidentes, e relacionamentos saídos Triagem de teste, due diligence, contrato, monitoramento, tarefas de incidente, ação corretiva, e saída, inventário, avaliação, acordo, descobertas, monitoramento, prova de remoção,</w:t>
      </w:r>
      <w:r>
        <w:t xml:space="preserve"> </w:t>
      </w:r>
      <w:r>
        <w:t xml:space="preserve">Resposta ao incidente; população completa de eventos e incidentes reconciliada com fontes de alerta, socorro, privacidade, legal e operações; Declaração de teste, triagem, análise, evidência, notificação, contenção, erradicação, recuperação, e lições</w:t>
      </w:r>
      <w:r>
        <w:t xml:space="preserve"> </w:t>
      </w:r>
      <w:r>
        <w:t xml:space="preserve">Todos os repositórios, releases, dependências, exceções e achados no âmbito do escopo.</w:t>
      </w:r>
    </w:p>
    <w:bookmarkEnd w:id="98"/>
    <w:bookmarkEnd w:id="99"/>
    <w:bookmarkStart w:id="100" w:name="linguagem-de-conclusão"/>
    <w:p>
      <w:pPr>
        <w:pStyle w:val="Heading1"/>
      </w:pPr>
      <w:r>
        <w:t xml:space="preserve"># 15.2 Linguagem de conclusão</w:t>
      </w:r>
    </w:p>
    <w:p>
      <w:pPr>
        <w:pStyle w:val="FirstParagraph"/>
      </w:pPr>
      <w:r>
        <w:t xml:space="preserve">Exemplo:** Para o período definido de serviço e revisão, o controle foi adequadamente projetado e operado para 37 de 40 eventos amostrados. Três remoções tardias de acesso ultrapassaram a tolerância aprovada. A gerência atribuiu medidas corretivas, adicionou escalonamento automatizado e reteste confirmou a remoção oportuna para a população completa subsequente. A conclusão não abrange os sistemas excluídos do âmbito de aplicação indicado.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00"/>
    <w:bookmarkStart w:id="103" w:name="Xf605b9fc117b19fa96e3f4b67bb70a588b3ef93"/>
    <w:p>
      <w:pPr>
        <w:pStyle w:val="Heading1"/>
      </w:pPr>
      <w:r>
        <w:t xml:space="preserve">16. Ferramentas de código aberto para CSF Work</w:t>
      </w:r>
    </w:p>
    <w:p>
      <w:pPr>
        <w:numPr>
          <w:ilvl w:val="0"/>
          <w:numId w:val="1027"/>
        </w:numPr>
        <w:pStyle w:val="Compact"/>
      </w:pPr>
      <w:r>
        <w:t xml:space="preserve">Links oficiais, inícios rápidos seguros, suporte CSF, evidências e limitações.*</w:t>
      </w:r>
    </w:p>
    <w:p>
      <w:pPr>
        <w:pStyle w:val="FirstParagraph"/>
      </w:pPr>
    </w:p>
    <w:p>
      <w:pPr>
        <w:pStyle w:val="BodyText"/>
      </w:pPr>
      <w:r>
        <w:t xml:space="preserve">Figura 7. Da saída da ferramenta à evidência</w:t>
      </w:r>
    </w:p>
    <w:bookmarkStart w:id="101" w:name="ferramenta-purpose-possible-csf-support"/>
    <w:p>
      <w:pPr>
        <w:pStyle w:val="Heading2"/>
      </w:pPr>
      <w:r>
        <w:t xml:space="preserve">•</w:t>
      </w:r>
      <w:r>
        <w:t xml:space="preserve"> </w:t>
      </w:r>
      <w:r>
        <w:rPr>
          <w:bCs/>
          <w:b/>
        </w:rPr>
        <w:t xml:space="preserve">Ferramenta</w:t>
      </w:r>
      <w:r>
        <w:t xml:space="preserve"> </w:t>
      </w:r>
      <w:r>
        <w:rPr>
          <w:bCs/>
          <w:b/>
        </w:rPr>
        <w:t xml:space="preserve">Purpose</w:t>
      </w:r>
      <w:r>
        <w:t xml:space="preserve"> </w:t>
      </w:r>
      <w:r>
        <w:rPr>
          <w:bCs/>
          <w:b/>
        </w:rPr>
        <w:t xml:space="preserve">Possible CSF support</w:t>
      </w:r>
    </w:p>
    <w:p>
      <w:pPr>
        <w:pStyle w:val="FirstParagraph"/>
      </w:pPr>
      <w:r>
        <w:t xml:space="preserve">Assistente do CISO GRC, Perfis, riscos, controlos, evidência .</w:t>
      </w:r>
      <w:r>
        <w:t xml:space="preserve"> </w:t>
      </w:r>
      <w:r>
        <w:t xml:space="preserve">. Wazuh .. SIEM, monitorização dos parâmetros de avaliação, integridade .. DE.CM, DE.AE, RS.MA</w:t>
      </w:r>
      <w:r>
        <w:t xml:space="preserve"> </w:t>
      </w:r>
      <w:r>
        <w:t xml:space="preserve">Osquery □ Endpoint inventory and query evidence □ ID.AM, PR.PS, PR.AA</w:t>
      </w:r>
      <w:r>
        <w:t xml:space="preserve"> </w:t>
      </w:r>
      <w:r>
        <w:t xml:space="preserve">• Avaliação da configuração do OpenSCAP - Linux</w:t>
      </w:r>
      <w:r>
        <w:t xml:space="preserve"> </w:t>
      </w:r>
      <w:r>
        <w:t xml:space="preserve">□ Greenbone Community Edition – Avaliação da vulnerabilidade</w:t>
      </w:r>
      <w:r>
        <w:t xml:space="preserve"> </w:t>
      </w:r>
      <w:r>
        <w:t xml:space="preserve">Varredura de código, imagem, dependência, segredo, e configuração</w:t>
      </w:r>
      <w:r>
        <w:t xml:space="preserve"> </w:t>
      </w:r>
      <w:r>
        <w:t xml:space="preserve">OWASP ZAP □ Avaliação autorizada da aplicação da web</w:t>
      </w:r>
      <w:r>
        <w:t xml:space="preserve"> </w:t>
      </w:r>
      <w:r>
        <w:t xml:space="preserve">Keycloak, identidade, funções, autenticação e MFA, PR.AA</w:t>
      </w:r>
      <w:r>
        <w:t xml:space="preserve"> </w:t>
      </w:r>
      <w:r>
        <w:t xml:space="preserve">• DefectDojo • Encontrar o seguimento da ingestão e da remediação</w:t>
      </w:r>
      <w:r>
        <w:t xml:space="preserve"> </w:t>
      </w:r>
      <w:r>
        <w:t xml:space="preserve">□ Velociraptor □ Visibilidade e resposta de incidentes do ponto de extremidade</w:t>
      </w:r>
      <w:r>
        <w:t xml:space="preserve"> </w:t>
      </w:r>
      <w:r>
        <w:t xml:space="preserve">□ Open Policy Agent □ Policy as code GV.PO, PR.AA, PR.PS</w:t>
      </w:r>
      <w:r>
        <w:t xml:space="preserve"> </w:t>
      </w:r>
      <w:r>
        <w:t xml:space="preserve">Pesquisa, análise, painéis e monitoramento de segurança □ DE.CM, DE.AE, GV.OV</w:t>
      </w:r>
    </w:p>
    <w:bookmarkEnd w:id="101"/>
    <w:bookmarkStart w:id="102" w:name="Xcaaec91ffbf8c68a9531b2a24aadbee7afcbbeb"/>
    <w:p>
      <w:pPr>
        <w:pStyle w:val="Heading2"/>
      </w:pPr>
      <w:r>
        <w:t xml:space="preserve">16.1 Lista de verificação de validação de ferramentas</w:t>
      </w:r>
    </w:p>
    <w:p>
      <w:pPr>
        <w:numPr>
          <w:ilvl w:val="0"/>
          <w:numId w:val="1028"/>
        </w:numPr>
      </w:pPr>
      <w:r>
        <w:t xml:space="preserve">Aprovar finalidade, proprietário, escopo, dados, sistemas, hospedagem, acesso de suporte e retenção.</w:t>
      </w:r>
    </w:p>
    <w:p>
      <w:pPr>
        <w:numPr>
          <w:ilvl w:val="0"/>
          <w:numId w:val="1028"/>
        </w:numPr>
      </w:pPr>
      <w:r>
        <w:t xml:space="preserve">Verifique a fonte oficial, versão, dependências, integridade, método de atualização e configuração segura.</w:t>
      </w:r>
    </w:p>
    <w:p>
      <w:pPr>
        <w:numPr>
          <w:ilvl w:val="0"/>
          <w:numId w:val="1028"/>
        </w:numPr>
      </w:pPr>
      <w:r>
        <w:t xml:space="preserve">Teste uma condição conhecida que a ferramenta deve detectar ou bloquear.</w:t>
      </w:r>
    </w:p>
    <w:p>
      <w:pPr>
        <w:numPr>
          <w:ilvl w:val="0"/>
          <w:numId w:val="1028"/>
        </w:numPr>
      </w:pPr>
      <w:r>
        <w:t xml:space="preserve">Teste uma condição conhecida para identificar falhas desnecessárias.</w:t>
      </w:r>
    </w:p>
    <w:p>
      <w:pPr>
        <w:numPr>
          <w:ilvl w:val="0"/>
          <w:numId w:val="1028"/>
        </w:numPr>
      </w:pPr>
      <w:r>
        <w:t xml:space="preserve">Compare a cobertura da ferramenta com um ativo independente, agente, repositório ou população de identidade.</w:t>
      </w:r>
    </w:p>
    <w:p>
      <w:pPr>
        <w:numPr>
          <w:ilvl w:val="0"/>
          <w:numId w:val="1028"/>
        </w:numPr>
      </w:pPr>
      <w:r>
        <w:t xml:space="preserve">Restrinja a administração, proteja credenciais e relatórios, alterações de log, e ferramenta de teste backup ou recuperação.</w:t>
      </w:r>
    </w:p>
    <w:p>
      <w:pPr>
        <w:numPr>
          <w:ilvl w:val="0"/>
          <w:numId w:val="1028"/>
        </w:numPr>
      </w:pPr>
      <w:r>
        <w:t xml:space="preserve">Definir validação humana, escalada, exceção, correção e reteste.</w:t>
      </w:r>
    </w:p>
    <w:p>
      <w:pPr>
        <w:numPr>
          <w:ilvl w:val="0"/>
          <w:numId w:val="1028"/>
        </w:numPr>
      </w:pPr>
      <w:r>
        <w:t xml:space="preserve">Revalidar após atualizações de material, alterações de integração, alterações de configuração ou falhas.</w:t>
      </w:r>
    </w:p>
    <w:bookmarkEnd w:id="102"/>
    <w:bookmarkEnd w:id="103"/>
    <w:bookmarkStart w:id="104" w:name="assistente-do-ciso"/>
    <w:p>
      <w:pPr>
        <w:pStyle w:val="Heading1"/>
      </w:pPr>
      <w:r>
        <w:t xml:space="preserve"># 16.2 Assistente do CISO</w:t>
      </w:r>
    </w:p>
    <w:p>
      <w:pPr>
        <w:pStyle w:val="FirstParagraph"/>
      </w:pPr>
      <w:r>
        <w:t xml:space="preserve">GRC, Perfis, riscos, controles, evidências. Possível suporte CSF: GV, ID, relatório.</w:t>
      </w:r>
    </w:p>
    <w:p>
      <w:pPr>
        <w:pStyle w:val="BodyText"/>
      </w:pPr>
      <w:r>
        <w:t xml:space="preserve">** Documentação oficial:** [</w:t>
      </w:r>
      <w:r>
        <w:t xml:space="preserve"> </w:t>
      </w:r>
      <w:r>
        <w:t xml:space="preserve">Abra o guia oficial do Assistente CISO</w:t>
      </w:r>
      <w:r>
        <w:t xml:space="preserve">(https://intuitem.gitbook.io/ciso-assistant)</w:t>
      </w:r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uma organização fictícia, selecione cinco resultados CSF, atribua proprietários, anexe evidências higienizadas, grave uma lacuna e construa um plano de ação.</w:t>
      </w:r>
    </w:p>
    <w:bookmarkEnd w:id="104"/>
    <w:bookmarkStart w:id="105" w:name="evidência-e-limitação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5"/>
    <w:bookmarkStart w:id="107" w:name="wazuh"/>
    <w:p>
      <w:pPr>
        <w:pStyle w:val="Heading1"/>
      </w:pPr>
      <w:r>
        <w:t xml:space="preserve"># 16,3 Wazuh</w:t>
      </w:r>
    </w:p>
    <w:p>
      <w:pPr>
        <w:pStyle w:val="FirstParagraph"/>
      </w:pPr>
      <w:r>
        <w:t xml:space="preserve">SIEM, monitorização dos parâmetros de avaliação, integridade. Possível suporte CSF: DE.CM, DE.AE, RS.MA.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6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Wazuh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Conecte um terminal de laboratório autorizado, crie um evento inofensivo, reveja o alerta, documente a decisão e mantenha o evento e o ticket.</w:t>
      </w:r>
    </w:p>
    <w:bookmarkEnd w:id="107"/>
    <w:bookmarkStart w:id="108" w:name="evidência-e-limitação-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08"/>
    <w:bookmarkStart w:id="110" w:name="osquery"/>
    <w:p>
      <w:pPr>
        <w:pStyle w:val="Heading1"/>
      </w:pPr>
      <w:r>
        <w:t xml:space="preserve"># 16,4 Osquery</w:t>
      </w:r>
    </w:p>
    <w:p>
      <w:pPr>
        <w:pStyle w:val="FirstParagraph"/>
      </w:pPr>
      <w:r>
        <w:t xml:space="preserve">Endpoint inventário e pesquisa de evidências. Possível suporte CSF: ID.AM, PR.PS,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09">
        <w:r>
          <w:rPr>
            <w:rStyle w:val="Hyperlink"/>
          </w:rPr>
          <w:t xml:space="preserve">Abre o guia oficial de osquery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Consultar usuários, software, serviços, criptografia ou processos em um endpoint de laboratório; registrar consulta, host, tempo, saída e revisão.</w:t>
      </w:r>
    </w:p>
    <w:bookmarkEnd w:id="110"/>
    <w:bookmarkStart w:id="111" w:name="evidência-e-limitação-2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1"/>
    <w:bookmarkStart w:id="113" w:name="openscap"/>
    <w:p>
      <w:pPr>
        <w:pStyle w:val="Heading1"/>
      </w:pPr>
      <w:r>
        <w:t xml:space="preserve"># 16.5 OpenSCAP</w:t>
      </w:r>
    </w:p>
    <w:p>
      <w:pPr>
        <w:pStyle w:val="FirstParagraph"/>
      </w:pPr>
      <w:r>
        <w:t xml:space="preserve">Avaliação da configuração do Linux. Possível suporte CSF: PR.PS,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2">
        <w:r>
          <w:rPr>
            <w:rStyle w:val="Hyperlink"/>
          </w:rPr>
          <w:t xml:space="preserve">Abre o guia oficial OpenSCAP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Avaliar um laboratório Linux autorizado contra um perfil adequado, corrigir uma configuração aprovada e comparar os relatórios anteriores e posteriores.</w:t>
      </w:r>
    </w:p>
    <w:bookmarkEnd w:id="113"/>
    <w:bookmarkStart w:id="114" w:name="evidência-e-limitação-3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4"/>
    <w:bookmarkStart w:id="116" w:name="greenbone-community-edition"/>
    <w:p>
      <w:pPr>
        <w:pStyle w:val="Heading1"/>
      </w:pPr>
      <w:r>
        <w:t xml:space="preserve">16.6 Greenbone Community Edition</w:t>
      </w:r>
    </w:p>
    <w:p>
      <w:pPr>
        <w:pStyle w:val="FirstParagraph"/>
      </w:pPr>
      <w:r>
        <w:t xml:space="preserve">Avaliação da vulnerabilidade. Possível suporte CSF: ID.RA, ID.IM.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15">
        <w:r>
          <w:rPr>
            <w:rStyle w:val="Hyperlink"/>
          </w:rPr>
          <w:t xml:space="preserve">Abre o guia oficial da Greenbone Community Edition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Analisar apenas um alvo de laboratório aprovado, validar um achado, corrigi-lo, rescan, e escopo do documento e limitações.</w:t>
      </w:r>
    </w:p>
    <w:bookmarkEnd w:id="116"/>
    <w:bookmarkStart w:id="117" w:name="evidência-e-limitação-4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17"/>
    <w:bookmarkStart w:id="119" w:name="trivy"/>
    <w:p>
      <w:pPr>
        <w:pStyle w:val="Heading1"/>
      </w:pPr>
      <w:r>
        <w:t xml:space="preserve">16,7 Trivy</w:t>
      </w:r>
    </w:p>
    <w:p>
      <w:pPr>
        <w:pStyle w:val="FirstParagraph"/>
      </w:pPr>
      <w:r>
        <w:t xml:space="preserve">Digitalização de código, imagem, dependência, segredo e configuração. Possível suporte CSF: ID.RA, PR.PS.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Trivy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Examine uma imagem de laboratório ou repositório de testes, proteja o relatório, valide um resultado, corrija-o e verifique novamente.</w:t>
      </w:r>
    </w:p>
    <w:bookmarkEnd w:id="119"/>
    <w:bookmarkStart w:id="120" w:name="evidência-e-limitação-5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0"/>
    <w:bookmarkStart w:id="122" w:name="owasp-zap"/>
    <w:p>
      <w:pPr>
        <w:pStyle w:val="Heading1"/>
      </w:pPr>
      <w:r>
        <w:t xml:space="preserve">16.8 OWASP ZAP</w:t>
      </w:r>
    </w:p>
    <w:p>
      <w:pPr>
        <w:pStyle w:val="FirstParagraph"/>
      </w:pPr>
      <w:r>
        <w:t xml:space="preserve">Avaliação autorizada da aplicação web. Possível suporte CSF: ID.RA, ID.IM.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1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Abra o guia oficial OWASP ZAP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Proxy uma aplicação de treinamento local, começar com análise passiva, validar um achado, e manter o escopo e resultados aprovados.</w:t>
      </w:r>
    </w:p>
    <w:bookmarkEnd w:id="122"/>
    <w:bookmarkStart w:id="123" w:name="evidência-e-limitação-6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3"/>
    <w:bookmarkStart w:id="125" w:name="keycloak"/>
    <w:p>
      <w:pPr>
        <w:pStyle w:val="Heading1"/>
      </w:pPr>
      <w:r>
        <w:t xml:space="preserve"># 16.9 Keycloak</w:t>
      </w:r>
    </w:p>
    <w:p>
      <w:pPr>
        <w:pStyle w:val="FirstParagraph"/>
      </w:pPr>
      <w:r>
        <w:t xml:space="preserve">Identidade, papéis, autenticação e MFA. Possível suporte CSF: PR.AA.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24">
        <w:r>
          <w:rPr>
            <w:rStyle w:val="Hyperlink"/>
          </w:rPr>
          <w:t xml:space="preserve">Abre o guia oficial do Keycloak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Crie um reino de laboratório, usuários, papéis e MFA; teste menos privilégio, acesso falhado e remoção; exporte evidências de configuração higienizadas.</w:t>
      </w:r>
    </w:p>
    <w:bookmarkEnd w:id="125"/>
    <w:bookmarkStart w:id="126" w:name="evidência-e-limitação-7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6"/>
    <w:bookmarkStart w:id="128" w:name="defectdojo"/>
    <w:p>
      <w:pPr>
        <w:pStyle w:val="Heading1"/>
      </w:pPr>
      <w:r>
        <w:t xml:space="preserve"># 16.10 DefectDojo</w:t>
      </w:r>
    </w:p>
    <w:p>
      <w:pPr>
        <w:pStyle w:val="FirstParagraph"/>
      </w:pPr>
      <w:r>
        <w:t xml:space="preserve">Encontrar a entrada e o rastreio de remediação. Possível suporte CSF: ID.RA, ID.IM, GV.OV.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27">
        <w:r>
          <w:rPr>
            <w:rStyle w:val="Hyperlink"/>
          </w:rPr>
          <w:t xml:space="preserve">Abra o guia oficial DefectDojo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Importar um relatório de laboratório, validar e atribuir um achado, correção de registro, reteste-o, e fechá-lo com prova.</w:t>
      </w:r>
    </w:p>
    <w:bookmarkEnd w:id="128"/>
    <w:bookmarkStart w:id="129" w:name="evidência-e-limitação-8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29"/>
    <w:bookmarkStart w:id="131" w:name="velociraptor"/>
    <w:p>
      <w:pPr>
        <w:pStyle w:val="Heading1"/>
      </w:pPr>
      <w:r>
        <w:t xml:space="preserve"># 16.11 Velociraptor</w:t>
      </w:r>
    </w:p>
    <w:p>
      <w:pPr>
        <w:pStyle w:val="FirstParagraph"/>
      </w:pPr>
      <w:r>
        <w:t xml:space="preserve">Visibilidade do ponto final e resposta ao incidente. Possível suporte CSF: DE.CM, RS.AN.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0">
        <w:r>
          <w:rPr>
            <w:rStyle w:val="Hyperlink"/>
          </w:rPr>
          <w:t xml:space="preserve">Abrir o guia oficial Velociraptor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Use um cliente de laboratório isolado, colete um artefato aprovado inofensivo, e finalidade de registro, escopo, coleta, revisão e preservação.</w:t>
      </w:r>
    </w:p>
    <w:bookmarkEnd w:id="131"/>
    <w:bookmarkStart w:id="132" w:name="evidência-e-limitação-9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2"/>
    <w:bookmarkStart w:id="134" w:name="open-policy-agent"/>
    <w:p>
      <w:pPr>
        <w:pStyle w:val="Heading1"/>
      </w:pPr>
      <w:r>
        <w:t xml:space="preserve"># 16.12 Open Policy Agent</w:t>
      </w:r>
    </w:p>
    <w:p>
      <w:pPr>
        <w:pStyle w:val="FirstParagraph"/>
      </w:pPr>
      <w:r>
        <w:t xml:space="preserve">Política como código. Possível suporte CSF: GV.PO, PR.AA, PR.PS.</w:t>
      </w:r>
    </w:p>
    <w:p>
      <w:pPr>
        <w:pStyle w:val="BodyText"/>
      </w:pPr>
      <w:r>
        <w:rPr>
          <w:bCs/>
          <w:b/>
        </w:rPr>
        <w:t xml:space="preserve">Documentação oficial:</w:t>
      </w:r>
      <w:r>
        <w:t xml:space="preserve"> </w:t>
      </w:r>
      <w:hyperlink r:id="rId133">
        <w:r>
          <w:rPr>
            <w:rStyle w:val="Hyperlink"/>
          </w:rPr>
          <w:t xml:space="preserve">Abre o guia oficial do Agente de Política Aberta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Escreva uma regra de laboratório que exija um proprietário, classificação e ambiente aprovado; teste de entradas permitidas e negadas.</w:t>
      </w:r>
    </w:p>
    <w:bookmarkEnd w:id="134"/>
    <w:bookmarkStart w:id="135" w:name="evidência-e-limitação-10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5"/>
    <w:bookmarkStart w:id="137" w:name="opensearch"/>
    <w:p>
      <w:pPr>
        <w:pStyle w:val="Heading1"/>
      </w:pPr>
      <w:r>
        <w:t xml:space="preserve"># 16.13 OpenSearch</w:t>
      </w:r>
    </w:p>
    <w:p>
      <w:pPr>
        <w:pStyle w:val="FirstParagraph"/>
      </w:pPr>
      <w:r>
        <w:t xml:space="preserve">Pesquisa, análise, painéis e monitoramento de segurança. Possível suporte CSF: DE.CM, DE.AE, GV.OV.</w:t>
      </w:r>
    </w:p>
    <w:p>
      <w:pPr>
        <w:pStyle w:val="BodyText"/>
      </w:pPr>
      <w:r>
        <w:t xml:space="preserve">** Documentação oficial:**</w:t>
      </w:r>
      <w:r>
        <w:t xml:space="preserve"> </w:t>
      </w:r>
      <w:hyperlink r:id="rId136">
        <w:r>
          <w:rPr>
            <w:rStyle w:val="Hyperlink"/>
          </w:rPr>
          <w:t xml:space="preserve">Abre o guia oficial OpenSearch</w:t>
        </w:r>
      </w:hyperlink>
    </w:p>
    <w:p>
      <w:pPr>
        <w:pStyle w:val="BodyText"/>
      </w:pPr>
      <w:r>
        <w:t xml:space="preserve">Um começo rápido</w:t>
      </w:r>
    </w:p>
    <w:p>
      <w:pPr>
        <w:pStyle w:val="BodyText"/>
      </w:pPr>
      <w:r>
        <w:t xml:space="preserve">Carregar eventos de segurança sintéticos, construir uma pesquisa e painel, cobertura de dados de documentos, acesso, retenção, revisão e limitações.</w:t>
      </w:r>
    </w:p>
    <w:bookmarkEnd w:id="137"/>
    <w:bookmarkStart w:id="138" w:name="evidência-e-limitação-11"/>
    <w:p>
      <w:pPr>
        <w:pStyle w:val="Heading1"/>
      </w:pPr>
      <w:r>
        <w:t xml:space="preserve"># Evidência e limitação</w:t>
      </w:r>
    </w:p>
    <w:p>
      <w:pPr>
        <w:pStyle w:val="FirstParagraph"/>
      </w:pPr>
      <w:r>
        <w:t xml:space="preserve">Manter autorização, escopo, população alvo, ferramenta e versão de conteúdo, configuração, resultado bruto, revisor, decisão, ação corretiva, exceção e reteste. A ferramenta suporta o trabalho selecionado; não pode certificar o alinhamento CSF, determinar escopo completo, ou substituir julgamento humano qualificado.</w:t>
      </w:r>
    </w:p>
    <w:bookmarkEnd w:id="138"/>
    <w:bookmarkStart w:id="141" w:name="ferramentas-oficiais-nist"/>
    <w:p>
      <w:pPr>
        <w:pStyle w:val="Heading1"/>
      </w:pPr>
      <w:r>
        <w:t xml:space="preserve"># 16.14 Ferramentas oficiais NIST</w:t>
      </w:r>
    </w:p>
    <w:p>
      <w:pPr>
        <w:pStyle w:val="FirstParagraph"/>
      </w:pPr>
      <w:r>
        <w:t xml:space="preserve">** Ferramenta de referência CSF 2.0:**</w:t>
      </w:r>
      <w:r>
        <w:t xml:space="preserve"> </w:t>
      </w:r>
      <w:hyperlink r:id="rId139">
        <w:r>
          <w:rPr>
            <w:rStyle w:val="Hyperlink"/>
          </w:rPr>
          <w:t xml:space="preserve">Explore e exporte o núcleo oficial CSF</w:t>
        </w:r>
      </w:hyperlink>
    </w:p>
    <w:p>
      <w:pPr>
        <w:pStyle w:val="BodyText"/>
      </w:pPr>
      <w:r>
        <w:rPr>
          <w:bCs/>
          <w:b/>
        </w:rPr>
        <w:t xml:space="preserve">Perfis Organizacionais:</w:t>
      </w:r>
      <w:r>
        <w:t xml:space="preserve"> </w:t>
      </w:r>
      <w:hyperlink r:id="rId140">
        <w:r>
          <w:rPr>
            <w:rStyle w:val="Hyperlink"/>
          </w:rPr>
          <w:t xml:space="preserve">Abrir NIST Guia de perfil e modelos</w:t>
        </w:r>
      </w:hyperlink>
    </w:p>
    <w:bookmarkEnd w:id="141"/>
    <w:bookmarkStart w:id="142" w:name="csf-do-gerente-playbook"/>
    <w:p>
      <w:pPr>
        <w:pStyle w:val="Heading1"/>
      </w:pPr>
      <w:r>
        <w:t xml:space="preserve">17. CSF do gerente Playbook</w:t>
      </w:r>
    </w:p>
    <w:p>
      <w:pPr>
        <w:pStyle w:val="FirstParagraph"/>
      </w:pPr>
      <w:r>
        <w:rPr>
          <w:iCs/>
          <w:i/>
        </w:rPr>
        <w:t xml:space="preserve">Perguntas, rotinas de governança, painéis e gestores de decisões devem controlar.</w:t>
      </w:r>
    </w:p>
    <w:bookmarkEnd w:id="142"/>
    <w:bookmarkStart w:id="143" w:name="perguntas-mensais"/>
    <w:p>
      <w:pPr>
        <w:pStyle w:val="Heading1"/>
      </w:pPr>
      <w:r>
        <w:t xml:space="preserve"># 17.1 Perguntas mensais</w:t>
      </w:r>
    </w:p>
    <w:p>
      <w:pPr>
        <w:numPr>
          <w:ilvl w:val="0"/>
          <w:numId w:val="1029"/>
        </w:numPr>
      </w:pPr>
      <w:r>
        <w:t xml:space="preserve">O que mudou em missão, sistemas, dados, ameaças, obrigações, fornecedores, ou risco de apetite?</w:t>
      </w:r>
    </w:p>
    <w:p>
      <w:pPr>
        <w:numPr>
          <w:ilvl w:val="0"/>
          <w:numId w:val="1029"/>
        </w:numPr>
      </w:pPr>
      <w:r>
        <w:t xml:space="preserve">Que riscos excedem a tolerância e quem tem autoridade para decidir?</w:t>
      </w:r>
    </w:p>
    <w:p>
      <w:pPr>
        <w:numPr>
          <w:ilvl w:val="0"/>
          <w:numId w:val="1029"/>
        </w:numPr>
      </w:pPr>
      <w:r>
        <w:t xml:space="preserve">As conclusões do Perfil Actual são apoiadas por provas fiáveis?</w:t>
      </w:r>
    </w:p>
    <w:p>
      <w:pPr>
        <w:pStyle w:val="FirstParagraph"/>
      </w:pPr>
      <w:r>
        <w:t xml:space="preserve">Que planos de acção são atrasados, bloqueados, subfinanciados ou dependentes de outros?</w:t>
      </w:r>
    </w:p>
    <w:p>
      <w:pPr>
        <w:numPr>
          <w:ilvl w:val="0"/>
          <w:numId w:val="1030"/>
        </w:numPr>
      </w:pPr>
      <w:r>
        <w:t xml:space="preserve">Os fornecedores críticos são monitorados e incluídos no trabalho de incidente e recuperação?</w:t>
      </w:r>
    </w:p>
    <w:p>
      <w:pPr>
        <w:numPr>
          <w:ilvl w:val="0"/>
          <w:numId w:val="1030"/>
        </w:numPr>
      </w:pPr>
      <w:r>
        <w:t xml:space="preserve">Controlar falhas, incidentes, exercícios, testes e quase falhas levou a melhorias?</w:t>
      </w:r>
    </w:p>
    <w:p>
      <w:pPr>
        <w:numPr>
          <w:ilvl w:val="0"/>
          <w:numId w:val="1030"/>
        </w:numPr>
      </w:pPr>
      <w:r>
        <w:t xml:space="preserve">Os serviços críticos podem recuperar dentro dos objetivos aprovados?</w:t>
      </w:r>
    </w:p>
    <w:p>
      <w:pPr>
        <w:numPr>
          <w:ilvl w:val="0"/>
          <w:numId w:val="1030"/>
        </w:numPr>
      </w:pPr>
      <w:r>
        <w:t xml:space="preserve">Quais as limitações que a liderança deve entender antes de confiar no painel?</w:t>
      </w:r>
    </w:p>
    <w:bookmarkEnd w:id="143"/>
    <w:bookmarkStart w:id="145" w:name="painel"/>
    <w:p>
      <w:pPr>
        <w:pStyle w:val="Heading1"/>
      </w:pPr>
      <w:r>
        <w:t xml:space="preserve"># 17.2 Painel</w:t>
      </w:r>
    </w:p>
    <w:bookmarkStart w:id="144" w:name="section-2"/>
    <w:p>
      <w:pPr>
        <w:pStyle w:val="Heading2"/>
      </w:pPr>
      <w:r>
        <w:t xml:space="preserve">* * * * * * * * * * * * * * * * * * * * * * * * * * * * * * * *</w:t>
      </w:r>
    </w:p>
    <w:p>
      <w:pPr>
        <w:pStyle w:val="FirstParagraph"/>
      </w:pPr>
      <w:r>
        <w:t xml:space="preserve">• Governança – A estratégia, política, papéis, recursos e supervisão estão alinhados ao risco? Verde / Amarelo / Vermelho</w:t>
      </w:r>
      <w:r>
        <w:t xml:space="preserve"> </w:t>
      </w:r>
      <w:r>
        <w:t xml:space="preserve">Perfil O escopo é atual e o perfil alvo é aprovado? Verde / Amarelo / Vermelho</w:t>
      </w:r>
      <w:r>
        <w:t xml:space="preserve"> </w:t>
      </w:r>
      <w:r>
        <w:t xml:space="preserve">Risco Que riscos residuais excedem a tolerância? Verde / Amarelo / Vermelho</w:t>
      </w:r>
      <w:r>
        <w:t xml:space="preserve"> </w:t>
      </w:r>
      <w:r>
        <w:t xml:space="preserve">□ Activos □ Activos críticos, dados, fluxos e fornecedores são conhecidos? Verde / Amarelo / Vermelho</w:t>
      </w:r>
      <w:r>
        <w:t xml:space="preserve"> </w:t>
      </w:r>
      <w:r>
        <w:t xml:space="preserve">□ Proteção □ Identidade, dados, plataforma, treinamento e resiliência estão funcionando? Verde / Amarelo / Vermelho</w:t>
      </w:r>
      <w:r>
        <w:t xml:space="preserve"> </w:t>
      </w:r>
      <w:r>
        <w:t xml:space="preserve">Detecção O monitoramento está completo, revisto e conectado aos critérios de incidente? Verde / Amarelo / Vermelho</w:t>
      </w:r>
      <w:r>
        <w:t xml:space="preserve"> </w:t>
      </w:r>
      <w:r>
        <w:t xml:space="preserve">• Resposta: Os incidentes são triados, analisados, comunicados, contidos e erradicados? Verde / Amarelo / Vermelho</w:t>
      </w:r>
      <w:r>
        <w:t xml:space="preserve"> </w:t>
      </w:r>
      <w:r>
        <w:t xml:space="preserve">Recuperação , a integridade da restauração e os objetivos de serviço crítico são comprovados? Verde / Amarelo / Vermelho</w:t>
      </w:r>
      <w:r>
        <w:t xml:space="preserve"> </w:t>
      </w:r>
      <w:r>
        <w:t xml:space="preserve">□ Melhoria □ Os resultados são corrigidos e testados de forma independente? Verde / Amarelo / Vermelho</w:t>
      </w:r>
    </w:p>
    <w:bookmarkEnd w:id="144"/>
    <w:bookmarkEnd w:id="145"/>
    <w:bookmarkStart w:id="146" w:name="erros-comuns"/>
    <w:p>
      <w:pPr>
        <w:pStyle w:val="Heading1"/>
      </w:pPr>
      <w:r>
        <w:t xml:space="preserve"># 17.3 Erros comuns</w:t>
      </w:r>
    </w:p>
    <w:p>
      <w:pPr>
        <w:numPr>
          <w:ilvl w:val="0"/>
          <w:numId w:val="1031"/>
        </w:numPr>
      </w:pPr>
      <w:r>
        <w:t xml:space="preserve">Tratando CSF como uma lista de verificação de TI em vez de trabalho de risco empresarial.</w:t>
      </w:r>
    </w:p>
    <w:p>
      <w:pPr>
        <w:numPr>
          <w:ilvl w:val="0"/>
          <w:numId w:val="1031"/>
        </w:numPr>
      </w:pPr>
      <w:r>
        <w:t xml:space="preserve">Começando com ferramentas em vez de missão, escopo, risco e resultados.</w:t>
      </w:r>
    </w:p>
    <w:p>
      <w:pPr>
        <w:numPr>
          <w:ilvl w:val="0"/>
          <w:numId w:val="1031"/>
        </w:numPr>
      </w:pPr>
      <w:r>
        <w:t xml:space="preserve">Marcar os resultados obtidos apenas a partir do texto político.</w:t>
      </w:r>
    </w:p>
    <w:p>
      <w:pPr>
        <w:numPr>
          <w:ilvl w:val="0"/>
          <w:numId w:val="1031"/>
        </w:numPr>
      </w:pPr>
      <w:r>
        <w:t xml:space="preserve">Usando uma única pontuação que esconde fraquezas críticas e diferenças de escopo.</w:t>
      </w:r>
    </w:p>
    <w:p>
      <w:pPr>
        <w:numPr>
          <w:ilvl w:val="0"/>
          <w:numId w:val="1031"/>
        </w:numPr>
      </w:pPr>
      <w:r>
        <w:t xml:space="preserve">Chamar os níveis de maturidade dos Tiers sem compreender o contexto pretendido da NIST.</w:t>
      </w:r>
    </w:p>
    <w:p>
      <w:pPr>
        <w:numPr>
          <w:ilvl w:val="0"/>
          <w:numId w:val="1031"/>
        </w:numPr>
      </w:pPr>
      <w:r>
        <w:t xml:space="preserve">Copiar um perfil alvo sem o adaptar ao risco organizacional.</w:t>
      </w:r>
    </w:p>
    <w:p>
      <w:pPr>
        <w:numPr>
          <w:ilvl w:val="0"/>
          <w:numId w:val="1031"/>
        </w:numPr>
      </w:pPr>
      <w:r>
        <w:t xml:space="preserve">Ignorar fornecedores, serviços de nuvem, OT, dados, pessoas, instalações e dependências.</w:t>
      </w:r>
    </w:p>
    <w:p>
      <w:pPr>
        <w:numPr>
          <w:ilvl w:val="0"/>
          <w:numId w:val="1031"/>
        </w:numPr>
      </w:pPr>
      <w:r>
        <w:t xml:space="preserve">Fechando as descobertas sem retestes.</w:t>
      </w:r>
    </w:p>
    <w:p>
      <w:pPr>
        <w:numPr>
          <w:ilvl w:val="0"/>
          <w:numId w:val="1031"/>
        </w:numPr>
      </w:pPr>
      <w:r>
        <w:t xml:space="preserve">Descrevendo o alinhamento CSF como conformidade legal ou certificação NIST.</w:t>
      </w:r>
    </w:p>
    <w:bookmarkEnd w:id="146"/>
    <w:bookmarkStart w:id="147" w:name="de-iniciante-a-analista-júnior"/>
    <w:p>
      <w:pPr>
        <w:pStyle w:val="Heading1"/>
      </w:pPr>
      <w:r>
        <w:t xml:space="preserve">18. De Iniciante a Analista Júnior</w:t>
      </w:r>
    </w:p>
    <w:p>
      <w:pPr>
        <w:numPr>
          <w:ilvl w:val="0"/>
          <w:numId w:val="1032"/>
        </w:numPr>
        <w:pStyle w:val="Compact"/>
      </w:pPr>
      <w:r>
        <w:t xml:space="preserve">Um caminho seguro e honesto para GRC, análise de risco, conformidade e cibersegurança.*</w:t>
      </w:r>
    </w:p>
    <w:p>
      <w:pPr>
        <w:pStyle w:val="FirstParagraph"/>
      </w:pPr>
    </w:p>
    <w:p>
      <w:pPr>
        <w:pStyle w:val="BodyText"/>
      </w:pPr>
      <w:r>
        <w:t xml:space="preserve">Figura 8. Caminho do analista júnior</w:t>
      </w:r>
    </w:p>
    <w:bookmarkEnd w:id="147"/>
    <w:bookmarkStart w:id="148" w:name="funções-de-nível-de-entrada"/>
    <w:p>
      <w:pPr>
        <w:pStyle w:val="Heading1"/>
      </w:pPr>
      <w:r>
        <w:t xml:space="preserve"># 18.1 Funções de nível de entrada</w:t>
      </w:r>
    </w:p>
    <w:p>
      <w:pPr>
        <w:pStyle w:val="FirstParagraph"/>
      </w:pPr>
      <w:r>
        <w:t xml:space="preserve">GRC Júnior Analisador</w:t>
      </w:r>
    </w:p>
    <w:p>
      <w:pPr>
        <w:pStyle w:val="BodyText"/>
      </w:pPr>
      <w:r>
        <w:t xml:space="preserve">Analista de Risco de Cibersegurança</w:t>
      </w:r>
    </w:p>
    <w:p>
      <w:pPr>
        <w:pStyle w:val="BodyText"/>
      </w:pPr>
      <w:r>
        <w:t xml:space="preserve">Analisador de conformidade</w:t>
      </w:r>
    </w:p>
    <w:p>
      <w:pPr>
        <w:pStyle w:val="BodyText"/>
      </w:pPr>
      <w:r>
        <w:t xml:space="preserve">Analista de Controles de Segurança</w:t>
      </w:r>
    </w:p>
    <w:p>
      <w:pPr>
        <w:pStyle w:val="BodyText"/>
      </w:pPr>
      <w:r>
        <w:t xml:space="preserve">Analista de Riscos de Terceiros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Analista do Programa de Cibersegurança</w:t>
      </w:r>
    </w:p>
    <w:p>
      <w:pPr>
        <w:pStyle w:val="BodyText"/>
      </w:pPr>
      <w:r>
        <w:t xml:space="preserve">Analista de Segurança Júnior</w:t>
      </w:r>
    </w:p>
    <w:p>
      <w:pPr>
        <w:pStyle w:val="BodyText"/>
      </w:pPr>
      <w:r>
        <w:t xml:space="preserve">Analisador de Prontos de Auditoria</w:t>
      </w:r>
    </w:p>
    <w:bookmarkEnd w:id="148"/>
    <w:bookmarkStart w:id="149" w:name="X1083fd6e433c69cb117e0a783d0eaf23b9c048e"/>
    <w:p>
      <w:pPr>
        <w:pStyle w:val="Heading1"/>
      </w:pPr>
      <w:r>
        <w:t xml:space="preserve"># 18.2 Trabalho que um analista júnior pode executar</w:t>
      </w:r>
    </w:p>
    <w:p>
      <w:pPr>
        <w:numPr>
          <w:ilvl w:val="0"/>
          <w:numId w:val="1033"/>
        </w:numPr>
      </w:pPr>
      <w:r>
        <w:t xml:space="preserve">Manter ativos, dados, sistema, risco, obrigação, fornecedor e inventários de evidências.</w:t>
      </w:r>
    </w:p>
    <w:p>
      <w:pPr>
        <w:numPr>
          <w:ilvl w:val="0"/>
          <w:numId w:val="1033"/>
        </w:numPr>
      </w:pPr>
      <w:r>
        <w:t xml:space="preserve">Recolha e organize provas para resultados CSF.</w:t>
      </w:r>
    </w:p>
    <w:p>
      <w:pPr>
        <w:numPr>
          <w:ilvl w:val="0"/>
          <w:numId w:val="1033"/>
        </w:numPr>
      </w:pPr>
      <w:r>
        <w:t xml:space="preserve">Revise acesso, vulnerabilidade, treinamento, registro, backup, fornecedor e amostras de incidentes.</w:t>
      </w:r>
    </w:p>
    <w:p>
      <w:pPr>
        <w:numPr>
          <w:ilvl w:val="0"/>
          <w:numId w:val="1033"/>
        </w:numPr>
      </w:pPr>
      <w:r>
        <w:t xml:space="preserve">Status do Perfil do Documento, lacunas, limitações, proprietários e planos de ação.</w:t>
      </w:r>
    </w:p>
    <w:p>
      <w:pPr>
        <w:numPr>
          <w:ilvl w:val="0"/>
          <w:numId w:val="1033"/>
        </w:numPr>
      </w:pPr>
      <w:r>
        <w:t xml:space="preserve">Rastreie ações corretivas, exceções, aceitação de riscos e retestes.</w:t>
      </w:r>
    </w:p>
    <w:p>
      <w:pPr>
        <w:numPr>
          <w:ilvl w:val="0"/>
          <w:numId w:val="1033"/>
        </w:numPr>
      </w:pPr>
      <w:r>
        <w:t xml:space="preserve">Preparar painéis claros e materiais de reunião sem esconder incerteza.</w:t>
      </w:r>
    </w:p>
    <w:p>
      <w:pPr>
        <w:numPr>
          <w:ilvl w:val="0"/>
          <w:numId w:val="1033"/>
        </w:numPr>
      </w:pPr>
      <w:r>
        <w:t xml:space="preserve">Exercícios de suporte, cronogramas de incidentes, lições aprendidas e atualizações de planejamento.</w:t>
      </w:r>
    </w:p>
    <w:p>
      <w:pPr>
        <w:numPr>
          <w:ilvl w:val="0"/>
          <w:numId w:val="1033"/>
        </w:numPr>
      </w:pPr>
      <w:r>
        <w:t xml:space="preserve">Proteger informações confidenciais e seguir limites de autorização.</w:t>
      </w:r>
    </w:p>
    <w:bookmarkEnd w:id="149"/>
    <w:bookmarkStart w:id="151" w:name="prova-de-carteira"/>
    <w:p>
      <w:pPr>
        <w:pStyle w:val="Heading1"/>
      </w:pPr>
      <w:r>
        <w:t xml:space="preserve"># 18.3 Prova de carteira</w:t>
      </w:r>
    </w:p>
    <w:bookmarkStart w:id="150" w:name="habilidade-item-de-carteira"/>
    <w:p>
      <w:pPr>
        <w:pStyle w:val="Heading2"/>
      </w:pPr>
      <w:r>
        <w:t xml:space="preserve">**</w:t>
      </w:r>
      <w:r>
        <w:t xml:space="preserve"> </w:t>
      </w:r>
      <w:r>
        <w:rPr>
          <w:bCs/>
          <w:b/>
        </w:rPr>
        <w:t xml:space="preserve">Habilidade</w:t>
      </w:r>
      <w:r>
        <w:t xml:space="preserve"> </w:t>
      </w:r>
      <w:r>
        <w:t xml:space="preserve">** item de carteira **</w:t>
      </w:r>
    </w:p>
    <w:p>
      <w:pPr>
        <w:pStyle w:val="FirstParagraph"/>
      </w:pPr>
      <w:r>
        <w:t xml:space="preserve">• Âmbito de aplicação</w:t>
      </w:r>
      <w:r>
        <w:t xml:space="preserve"> </w:t>
      </w:r>
      <w:r>
        <w:t xml:space="preserve">Mapeamento de núcleos</w:t>
      </w:r>
      <w:r>
        <w:t xml:space="preserve"> </w:t>
      </w:r>
      <w:r>
        <w:t xml:space="preserve">Gerenciamento de ativos , sistema, dados, fornecedor e inventário de fluxo ,</w:t>
      </w:r>
      <w:r>
        <w:t xml:space="preserve"> </w:t>
      </w:r>
      <w:r>
        <w:t xml:space="preserve">□ Risco □ Risco de registo com apetite, tolerância, resposta e decisão residual</w:t>
      </w:r>
      <w:r>
        <w:t xml:space="preserve"> </w:t>
      </w:r>
      <w:r>
        <w:t xml:space="preserve">Perfis atuais e de destino com lacunas priorizadas</w:t>
      </w:r>
      <w:r>
        <w:t xml:space="preserve"> </w:t>
      </w:r>
      <w:r>
        <w:t xml:space="preserve">Testes de acesso, vulnerabilidade, backup, registro e folhas de teste do fornecedor</w:t>
      </w:r>
      <w:r>
        <w:t xml:space="preserve"> </w:t>
      </w:r>
      <w:r>
        <w:t xml:space="preserve">Resposta ao incidente □ Linha do tempo sintética, registro de evidências, comunicação e lições</w:t>
      </w:r>
      <w:r>
        <w:t xml:space="preserve"> </w:t>
      </w:r>
      <w:r>
        <w:t xml:space="preserve">• Comunicação de gestão – Painel de uma página e declaração de risco executivo</w:t>
      </w:r>
    </w:p>
    <w:bookmarkEnd w:id="150"/>
    <w:bookmarkEnd w:id="151"/>
    <w:bookmarkStart w:id="152" w:name="laboratório-fictício-e-portfólio"/>
    <w:p>
      <w:pPr>
        <w:pStyle w:val="Heading1"/>
      </w:pPr>
      <w:r>
        <w:t xml:space="preserve">19. Laboratório Fictício e Portfólio</w:t>
      </w:r>
    </w:p>
    <w:p>
      <w:pPr>
        <w:numPr>
          <w:ilvl w:val="0"/>
          <w:numId w:val="1034"/>
        </w:numPr>
        <w:pStyle w:val="Compact"/>
      </w:pPr>
      <w:r>
        <w:t xml:space="preserve">Um ambiente de prática completo usando informações sintéticas e sistemas de laboratório autorizados.*</w:t>
      </w:r>
    </w:p>
    <w:p>
      <w:pPr>
        <w:pStyle w:val="FirstParagraph"/>
      </w:pPr>
      <w:r>
        <w:t xml:space="preserve">Harbor Light Services é uma organização fictícia que fornece um portal de clientes, call center, colaboração em nuvem, integração de pagamentos, força de trabalho remota e análise hospedada por fornecedores. Cada pessoa, conta, endereço, ativo, evento, registro de cliente e fornecedor é inventado.</w:t>
      </w:r>
    </w:p>
    <w:bookmarkEnd w:id="152"/>
    <w:bookmarkStart w:id="153" w:name="projeto-1-âmbito-e-contexto"/>
    <w:p>
      <w:pPr>
        <w:pStyle w:val="Heading1"/>
      </w:pPr>
      <w:r>
        <w:t xml:space="preserve"># Projeto 1 — Âmbito e contexto</w:t>
      </w:r>
    </w:p>
    <w:p>
      <w:pPr>
        <w:pStyle w:val="FirstParagraph"/>
      </w:pPr>
      <w:r>
        <w:t xml:space="preserve">Defina missão, stakeholders, obrigações, serviços críticos, dependências, exclusões e proprietários.</w:t>
      </w:r>
    </w:p>
    <w:bookmarkEnd w:id="153"/>
    <w:bookmarkStart w:id="154" w:name="projeto-2-ativos-e-mapas-de-dados"/>
    <w:p>
      <w:pPr>
        <w:pStyle w:val="Heading1"/>
      </w:pPr>
      <w:r>
        <w:t xml:space="preserve"># Projeto 2 — Ativos e mapas de dados</w:t>
      </w:r>
    </w:p>
    <w:p>
      <w:pPr>
        <w:pStyle w:val="FirstParagraph"/>
      </w:pPr>
      <w:r>
        <w:t xml:space="preserve">Construir inventários e um diagrama de fluxo de dados autorizado.</w:t>
      </w:r>
    </w:p>
    <w:bookmarkEnd w:id="154"/>
    <w:bookmarkStart w:id="155" w:name="projeto-3-risco"/>
    <w:p>
      <w:pPr>
        <w:pStyle w:val="Heading1"/>
      </w:pPr>
      <w:r>
        <w:t xml:space="preserve"># Projeto 3 — Risco</w:t>
      </w:r>
    </w:p>
    <w:p>
      <w:pPr>
        <w:pStyle w:val="FirstParagraph"/>
      </w:pPr>
      <w:r>
        <w:t xml:space="preserve">Crie uma ameaça, vulnerabilidade, probabilidade, impacto, tratamento e registro de risco residual.</w:t>
      </w:r>
    </w:p>
    <w:bookmarkEnd w:id="155"/>
    <w:bookmarkStart w:id="156" w:name="projeto-4-perfis"/>
    <w:p>
      <w:pPr>
        <w:pStyle w:val="Heading1"/>
      </w:pPr>
      <w:r>
        <w:t xml:space="preserve"># Projeto 4 — Perfis</w:t>
      </w:r>
    </w:p>
    <w:p>
      <w:pPr>
        <w:pStyle w:val="FirstParagraph"/>
      </w:pPr>
      <w:r>
        <w:t xml:space="preserve">Crie perfis de alvo atuais e baseados em risco baseados em evidências.</w:t>
      </w:r>
    </w:p>
    <w:bookmarkEnd w:id="156"/>
    <w:bookmarkStart w:id="157" w:name="projeto-5---controles-e-testes"/>
    <w:p>
      <w:pPr>
        <w:pStyle w:val="Heading1"/>
      </w:pPr>
      <w:r>
        <w:t xml:space="preserve"># Projeto 5 - Controles e testes</w:t>
      </w:r>
    </w:p>
    <w:p>
      <w:pPr>
        <w:pStyle w:val="FirstParagraph"/>
      </w:pPr>
      <w:r>
        <w:t xml:space="preserve">Projete e execute testes fictícios para acesso, vulnerabilidades, logs, backups e fornecedores.</w:t>
      </w:r>
    </w:p>
    <w:bookmarkEnd w:id="157"/>
    <w:bookmarkStart w:id="158" w:name="projeto-6-incidente"/>
    <w:p>
      <w:pPr>
        <w:pStyle w:val="Heading1"/>
      </w:pPr>
      <w:r>
        <w:t xml:space="preserve">Projeto 6 — Incidente</w:t>
      </w:r>
    </w:p>
    <w:p>
      <w:pPr>
        <w:pStyle w:val="FirstParagraph"/>
      </w:pPr>
      <w:r>
        <w:t xml:space="preserve">Analisar eventos sintéticos, declarar um incidente, preservar evidências, conter, erradicar, restaurar e aprender.</w:t>
      </w:r>
    </w:p>
    <w:bookmarkEnd w:id="158"/>
    <w:bookmarkStart w:id="159" w:name="projeto-7-ferramentas"/>
    <w:p>
      <w:pPr>
        <w:pStyle w:val="Heading1"/>
      </w:pPr>
      <w:r>
        <w:t xml:space="preserve"># Projeto 7 — Ferramentas</w:t>
      </w:r>
    </w:p>
    <w:p>
      <w:pPr>
        <w:pStyle w:val="FirstParagraph"/>
      </w:pPr>
      <w:r>
        <w:t xml:space="preserve">Use três ferramentas do Capítulo 16 em um laboratório isolado e registro de autorização, versão, escopo, achados, correção e reteste.</w:t>
      </w:r>
    </w:p>
    <w:bookmarkEnd w:id="159"/>
    <w:bookmarkStart w:id="160" w:name="projeto-8-relatório-executivo"/>
    <w:p>
      <w:pPr>
        <w:pStyle w:val="Heading1"/>
      </w:pPr>
      <w:r>
        <w:t xml:space="preserve"># Projeto 8 – Relatório Executivo</w:t>
      </w:r>
    </w:p>
    <w:p>
      <w:pPr>
        <w:pStyle w:val="FirstParagraph"/>
      </w:pPr>
      <w:r>
        <w:t xml:space="preserve">Prepare um painel, declarações de alto risco, plano de ação, decisões e limitações.</w:t>
      </w:r>
    </w:p>
    <w:p>
      <w:pPr>
        <w:pStyle w:val="BodyText"/>
      </w:pPr>
      <w:r>
        <w:t xml:space="preserve">Ética em Portfólio:** Rotular todo o trabalho como formação fictícia. Nunca publicar empregador, cliente, paciente, cliente, empregado, fornecedor, arquitetura, vulnerabilidade, credencial, ou informações incidentes sem autorização explícita.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60"/>
    <w:bookmarkStart w:id="162" w:name="plano-de-aprendizagem-de-trinta-dias"/>
    <w:p>
      <w:pPr>
        <w:pStyle w:val="Heading1"/>
      </w:pPr>
      <w:r>
        <w:t xml:space="preserve">20. Plano de Aprendizagem de Trinta Dias</w:t>
      </w:r>
    </w:p>
    <w:p>
      <w:pPr>
        <w:numPr>
          <w:ilvl w:val="0"/>
          <w:numId w:val="1035"/>
        </w:numPr>
        <w:pStyle w:val="Compact"/>
      </w:pPr>
      <w:r>
        <w:t xml:space="preserve">Um mês realista de leitura oficial, prática, trabalho de portfólio, e preparação de entrevista.*</w:t>
      </w:r>
    </w:p>
    <w:bookmarkStart w:id="161" w:name="semana-foco-saída-exigida"/>
    <w:p>
      <w:pPr>
        <w:pStyle w:val="Heading2"/>
      </w:pPr>
      <w:r>
        <w:t xml:space="preserve">*Semana</w:t>
      </w:r>
      <w:r>
        <w:rPr>
          <w:bCs/>
          <w:b/>
        </w:rPr>
        <w:t xml:space="preserve"> </w:t>
      </w:r>
      <w:r>
        <w:t xml:space="preserve"> </w:t>
      </w:r>
      <w:r>
        <w:t xml:space="preserve">Foco</w:t>
      </w:r>
      <w:r>
        <w:rPr>
          <w:bCs/>
          <w:b/>
        </w:rPr>
        <w:t xml:space="preserve"> </w:t>
      </w:r>
      <w:r>
        <w:t xml:space="preserve"> </w:t>
      </w:r>
      <w:r>
        <w:t xml:space="preserve">Saída exigida**</w:t>
      </w:r>
    </w:p>
    <w:p>
      <w:pPr>
        <w:pStyle w:val="FirstParagraph"/>
      </w:pPr>
      <w:r>
        <w:t xml:space="preserve">□ Semana 1 – CSF proposite, Core, seis Funções, contexto e ativos □ Memo de escopo, mapa de stakeholders, inventário de ativos e dados</w:t>
      </w:r>
      <w:r>
        <w:t xml:space="preserve"> </w:t>
      </w:r>
      <w:r>
        <w:t xml:space="preserve">• Semana 2 • Risco, Perfis, Tiers, governança e cadeia de suprimentos</w:t>
      </w:r>
      <w:r>
        <w:t xml:space="preserve"> </w:t>
      </w:r>
      <w:r>
        <w:t xml:space="preserve">A semana 3 Resguarda, monitoramento, resposta, recuperação, evidência, e testes</w:t>
      </w:r>
      <w:r>
        <w:t xml:space="preserve"> </w:t>
      </w:r>
      <w:r>
        <w:t xml:space="preserve">• Semana 4 • Ferramentas, relatórios, portfólio e entrevistas</w:t>
      </w:r>
    </w:p>
    <w:bookmarkEnd w:id="161"/>
    <w:bookmarkEnd w:id="162"/>
    <w:bookmarkStart w:id="163" w:name="hábito-diário"/>
    <w:p>
      <w:pPr>
        <w:pStyle w:val="Heading1"/>
      </w:pPr>
      <w:r>
        <w:t xml:space="preserve"># 20,1 hábito diário</w:t>
      </w:r>
    </w:p>
    <w:p>
      <w:pPr>
        <w:pStyle w:val="FirstParagraph"/>
      </w:pPr>
      <w:r>
        <w:t xml:space="preserve">Leia uma secção oficial de NIST ou grupo de resultados.</w:t>
      </w:r>
    </w:p>
    <w:p>
      <w:pPr>
        <w:pStyle w:val="BodyText"/>
      </w:pPr>
      <w:r>
        <w:t xml:space="preserve">Explique-o em linguagem simples sem mudar o seu significado.</w:t>
      </w:r>
    </w:p>
    <w:p>
      <w:pPr>
        <w:pStyle w:val="BodyText"/>
      </w:pPr>
      <w:r>
        <w:t xml:space="preserve">Criar uma prova fictícia.</w:t>
      </w:r>
    </w:p>
    <w:p>
      <w:pPr>
        <w:pStyle w:val="BodyText"/>
      </w:pPr>
      <w:r>
        <w:t xml:space="preserve">Teste sua completude, escopo, data, propriedade e confiabilidade.</w:t>
      </w:r>
    </w:p>
    <w:p>
      <w:pPr>
        <w:pStyle w:val="BodyText"/>
      </w:pPr>
      <w:r>
        <w:t xml:space="preserve">Escreva uma conclusão, ação corretiva ou lição.</w:t>
      </w:r>
    </w:p>
    <w:bookmarkEnd w:id="163"/>
    <w:bookmarkStart w:id="164" w:name="preparação-da-entrevista"/>
    <w:p>
      <w:pPr>
        <w:pStyle w:val="Heading1"/>
      </w:pPr>
      <w:r>
        <w:t xml:space="preserve">21. Preparação da entrevista</w:t>
      </w:r>
    </w:p>
    <w:p>
      <w:pPr>
        <w:numPr>
          <w:ilvl w:val="0"/>
          <w:numId w:val="1036"/>
        </w:numPr>
        <w:pStyle w:val="Compact"/>
      </w:pPr>
      <w:r>
        <w:t xml:space="preserve">Respostas curtas e precisas para analistas e gerentes júnior.*</w:t>
      </w:r>
    </w:p>
    <w:bookmarkEnd w:id="164"/>
    <w:bookmarkStart w:id="165" w:name="o-que-é-nist-csf-2.0"/>
    <w:p>
      <w:pPr>
        <w:pStyle w:val="Heading1"/>
      </w:pPr>
      <w:r>
        <w:t xml:space="preserve"># O que é NIST CSF 2.0?</w:t>
      </w:r>
    </w:p>
    <w:p>
      <w:pPr>
        <w:pStyle w:val="FirstParagraph"/>
      </w:pPr>
      <w:r>
        <w:t xml:space="preserve">Um framework flexível e focado em resultados que ajuda as organizações a entender, avaliar, priorizar e comunicar riscos de cibersegurança usando o Núcleo, Perfis, Níveis e recursos de suporte.</w:t>
      </w:r>
    </w:p>
    <w:bookmarkEnd w:id="165"/>
    <w:bookmarkStart w:id="166" w:name="quais-são-as-seis-funções"/>
    <w:p>
      <w:pPr>
        <w:pStyle w:val="Heading1"/>
      </w:pPr>
      <w:r>
        <w:t xml:space="preserve"># Quais são as seis Funções?</w:t>
      </w:r>
    </w:p>
    <w:p>
      <w:pPr>
        <w:pStyle w:val="FirstParagraph"/>
      </w:pPr>
      <w:r>
        <w:t xml:space="preserve">Governar, Identificar, Proteger, Detectar, Responder e Recuperar.</w:t>
      </w:r>
    </w:p>
    <w:bookmarkEnd w:id="166"/>
    <w:bookmarkStart w:id="167" w:name="por-que-govern-foi-adicionado"/>
    <w:p>
      <w:pPr>
        <w:pStyle w:val="Heading1"/>
      </w:pPr>
      <w:r>
        <w:t xml:space="preserve"># Por que Govern foi adicionado?</w:t>
      </w:r>
    </w:p>
    <w:p>
      <w:pPr>
        <w:pStyle w:val="FirstParagraph"/>
      </w:pPr>
      <w:r>
        <w:t xml:space="preserve">Torna explícita a responsabilização, política, estratégia de risco, integração empresa-risco, supervisão e risco de cadeia de suprimentos.</w:t>
      </w:r>
    </w:p>
    <w:bookmarkEnd w:id="167"/>
    <w:bookmarkStart w:id="168" w:name="o-que-é-um-perfil-atual"/>
    <w:p>
      <w:pPr>
        <w:pStyle w:val="Heading1"/>
      </w:pPr>
      <w:r>
        <w:t xml:space="preserve"># O que é um perfil atual?</w:t>
      </w:r>
    </w:p>
    <w:p>
      <w:pPr>
        <w:pStyle w:val="FirstParagraph"/>
      </w:pPr>
      <w:r>
        <w:t xml:space="preserve">Uma descrição dos resultados principais que um escopo definido está atualmente alcançando ou tentando alcançar, incluindo como ou em que medida.</w:t>
      </w:r>
    </w:p>
    <w:bookmarkEnd w:id="168"/>
    <w:bookmarkStart w:id="169" w:name="o-que-é-um-perfil-de-alvo"/>
    <w:p>
      <w:pPr>
        <w:pStyle w:val="Heading1"/>
      </w:pPr>
      <w:r>
        <w:t xml:space="preserve"># O que é um perfil de alvo?</w:t>
      </w:r>
    </w:p>
    <w:p>
      <w:pPr>
        <w:pStyle w:val="FirstParagraph"/>
      </w:pPr>
      <w:r>
        <w:t xml:space="preserve">Os resultados principais priorizados a organização seleciona para um estado futuro definido com base em missão, risco, obrigações, stakeholders e recursos.</w:t>
      </w:r>
    </w:p>
    <w:bookmarkEnd w:id="169"/>
    <w:bookmarkStart w:id="170" w:name="o-que-são-tiers"/>
    <w:p>
      <w:pPr>
        <w:pStyle w:val="Heading1"/>
      </w:pPr>
      <w:r>
        <w:t xml:space="preserve"># O que são Tiers?</w:t>
      </w:r>
    </w:p>
    <w:p>
      <w:pPr>
        <w:pStyle w:val="FirstParagraph"/>
      </w:pPr>
      <w:r>
        <w:t xml:space="preserve">Contexto para o rigor da governança e práticas de gestão de risco de cibersegurança: Partel, Risco Informado, Repetido e Adaptativo.</w:t>
      </w:r>
    </w:p>
    <w:bookmarkEnd w:id="170"/>
    <w:bookmarkStart w:id="171" w:name="csf-certifica-conformidade"/>
    <w:p>
      <w:pPr>
        <w:pStyle w:val="Heading1"/>
      </w:pPr>
      <w:r>
        <w:t xml:space="preserve"># CSF certifica conformidade?</w:t>
      </w:r>
    </w:p>
    <w:p>
      <w:pPr>
        <w:pStyle w:val="FirstParagraph"/>
      </w:pPr>
      <w:r>
        <w:t xml:space="preserve">Não. O alinhamento CSF não cria conformidade legal ou certificação NIST. As obrigações aplicáveis e os controlos executados devem ser avaliados separadamente.</w:t>
      </w:r>
    </w:p>
    <w:bookmarkEnd w:id="171"/>
    <w:bookmarkStart w:id="172" w:name="como-você-verifica-um-resultado"/>
    <w:p>
      <w:pPr>
        <w:pStyle w:val="Heading1"/>
      </w:pPr>
      <w:r>
        <w:t xml:space="preserve"># Como você verifica um resultado?</w:t>
      </w:r>
    </w:p>
    <w:p>
      <w:pPr>
        <w:pStyle w:val="FirstParagraph"/>
      </w:pPr>
      <w:r>
        <w:t xml:space="preserve">Defina escopo e critérios, avalie o desenho do controle, obtenha uma população completa, amostra por risco, inspecione e reflita, registre exceções, corrija, reteste e declare uma conclusão apoiada.</w:t>
      </w:r>
    </w:p>
    <w:bookmarkEnd w:id="172"/>
    <w:bookmarkStart w:id="173" w:name="como-devem-ser-usadas-ferramentas"/>
    <w:p>
      <w:pPr>
        <w:pStyle w:val="Heading1"/>
      </w:pPr>
      <w:r>
        <w:t xml:space="preserve"># Como devem ser usadas ferramentas?</w:t>
      </w:r>
    </w:p>
    <w:p>
      <w:pPr>
        <w:pStyle w:val="FirstParagraph"/>
      </w:pPr>
      <w:r>
        <w:t xml:space="preserve">Só com autorização e como uma fonte de provas. Validar cobertura e resultados, proteger saídas, corrigir lacunas confirmadas e reteste.</w:t>
      </w:r>
    </w:p>
    <w:bookmarkEnd w:id="173"/>
    <w:bookmarkStart w:id="174" w:name="como-você-prioriza-lacunas"/>
    <w:p>
      <w:pPr>
        <w:pStyle w:val="Heading1"/>
      </w:pPr>
      <w:r>
        <w:t xml:space="preserve"># Como você prioriza lacunas?</w:t>
      </w:r>
    </w:p>
    <w:p>
      <w:pPr>
        <w:pStyle w:val="FirstParagraph"/>
      </w:pPr>
      <w:r>
        <w:t xml:space="preserve">Use o impacto da missão, ameaça, probabilidade, criticidade de ativos e fornecedores, obrigações, exposição, dependências, controles existentes, custo, viabilidade e apetite de risco.</w:t>
      </w:r>
    </w:p>
    <w:p>
      <w:pPr>
        <w:pStyle w:val="BodyText"/>
      </w:pPr>
      <w:r>
        <w:t xml:space="preserve">Resposta de 60 segundos do gerente:** Eu uso CSF 2.0 para conectar segurança cibernética com risco de negócios. Nós definimos escopo e stakeholders, selecionamos resultados aplicáveis, criamos perfis de alvo baseados em evidências atuais e baseados em risco, priorizamos lacunas contra o apetite e obrigações, planos de ação de fundos, provas operacionais de testes, incluem fornecedores, e reportamos decisões e limitações claramente. Ferramentas suportam o trabalho, mas as pessoas permanecem responsáveis pelo escopo, julgamento, correção e risco residual.</w:t>
      </w:r>
      <w:r>
        <w:t xml:space="preserve"> </w:t>
      </w:r>
      <w:r>
        <w:t xml:space="preserve">O que se passa?</w:t>
      </w:r>
    </w:p>
    <w:bookmarkEnd w:id="174"/>
    <w:bookmarkStart w:id="175" w:name="modelos-e-listas-de-verificação"/>
    <w:p>
      <w:pPr>
        <w:pStyle w:val="Heading1"/>
      </w:pPr>
      <w:r>
        <w:t xml:space="preserve">22. Modelos e Listas de Verificação</w:t>
      </w:r>
    </w:p>
    <w:p>
      <w:pPr>
        <w:numPr>
          <w:ilvl w:val="0"/>
          <w:numId w:val="1037"/>
        </w:numPr>
        <w:pStyle w:val="Compact"/>
      </w:pPr>
      <w:r>
        <w:t xml:space="preserve">Estruturas reutilizáveis para um sistema organizacional aprovado.*</w:t>
      </w:r>
    </w:p>
    <w:bookmarkEnd w:id="175"/>
    <w:bookmarkStart w:id="176" w:name="registro-de-perfil"/>
    <w:p>
      <w:pPr>
        <w:pStyle w:val="Heading1"/>
      </w:pPr>
      <w:r>
        <w:t xml:space="preserve"># 22.1 Registro de perfil</w:t>
      </w:r>
    </w:p>
    <w:p>
      <w:pPr>
        <w:numPr>
          <w:ilvl w:val="0"/>
          <w:numId w:val="1038"/>
        </w:numPr>
      </w:pPr>
      <w:r>
        <w:t xml:space="preserve">Escopo, finalidade, proprietário, patrocinador, stakeholders, data e gatilho de revisão</w:t>
      </w:r>
    </w:p>
    <w:p>
      <w:pPr>
        <w:numPr>
          <w:ilvl w:val="0"/>
          <w:numId w:val="1038"/>
        </w:numPr>
      </w:pPr>
      <w:r>
        <w:t xml:space="preserve">Identificador de função, categoria e subcategoria</w:t>
      </w:r>
    </w:p>
    <w:p>
      <w:pPr>
        <w:numPr>
          <w:ilvl w:val="0"/>
          <w:numId w:val="1038"/>
        </w:numPr>
      </w:pPr>
      <w:r>
        <w:t xml:space="preserve">Aplicabilidade e lógica</w:t>
      </w:r>
    </w:p>
    <w:p>
      <w:pPr>
        <w:numPr>
          <w:ilvl w:val="0"/>
          <w:numId w:val="1038"/>
        </w:numPr>
      </w:pPr>
      <w:r>
        <w:t xml:space="preserve">Situação atual, implementação, proprietário, evidência, teste, exceção e limitação</w:t>
      </w:r>
    </w:p>
    <w:p>
      <w:pPr>
        <w:numPr>
          <w:ilvl w:val="0"/>
          <w:numId w:val="1038"/>
        </w:numPr>
      </w:pPr>
      <w:r>
        <w:t xml:space="preserve">Estatuto do alvo e prioridade</w:t>
      </w:r>
    </w:p>
    <w:p>
      <w:pPr>
        <w:numPr>
          <w:ilvl w:val="0"/>
          <w:numId w:val="1038"/>
        </w:numPr>
      </w:pPr>
      <w:r>
        <w:t xml:space="preserve">Gap, risco, ação, proteção provisória, proprietário, recursos, data, dependência e reteste</w:t>
      </w:r>
    </w:p>
    <w:p>
      <w:pPr>
        <w:numPr>
          <w:ilvl w:val="0"/>
          <w:numId w:val="1038"/>
        </w:numPr>
      </w:pPr>
      <w:r>
        <w:t xml:space="preserve">Current e Target Tier contexto onde útil</w:t>
      </w:r>
    </w:p>
    <w:p>
      <w:pPr>
        <w:numPr>
          <w:ilvl w:val="0"/>
          <w:numId w:val="1038"/>
        </w:numPr>
      </w:pPr>
      <w:r>
        <w:t xml:space="preserve">Histórico de aprovação e versão</w:t>
      </w:r>
    </w:p>
    <w:bookmarkEnd w:id="176"/>
    <w:bookmarkStart w:id="177" w:name="registro-de-risco"/>
    <w:p>
      <w:pPr>
        <w:pStyle w:val="Heading1"/>
      </w:pPr>
      <w:r>
        <w:t xml:space="preserve"># 22.2 Registro de risco</w:t>
      </w:r>
    </w:p>
    <w:p>
      <w:pPr>
        <w:numPr>
          <w:ilvl w:val="0"/>
          <w:numId w:val="1039"/>
        </w:numPr>
      </w:pPr>
      <w:r>
        <w:t xml:space="preserve">Objetivo, ativo, serviço, dados, fornecedor e proprietário</w:t>
      </w:r>
    </w:p>
    <w:p>
      <w:pPr>
        <w:numPr>
          <w:ilvl w:val="0"/>
          <w:numId w:val="1039"/>
        </w:numPr>
      </w:pPr>
      <w:r>
        <w:t xml:space="preserve">Ameaça, vulnerabilidade, cenário e resultados CSF afetados</w:t>
      </w:r>
    </w:p>
    <w:p>
      <w:pPr>
        <w:numPr>
          <w:ilvl w:val="0"/>
          <w:numId w:val="1039"/>
        </w:numPr>
      </w:pPr>
      <w:r>
        <w:t xml:space="preserve">Controlos e provas existentes</w:t>
      </w:r>
    </w:p>
    <w:p>
      <w:pPr>
        <w:numPr>
          <w:ilvl w:val="0"/>
          <w:numId w:val="1039"/>
        </w:numPr>
      </w:pPr>
      <w:r>
        <w:t xml:space="preserve">Probabilidade, impacto, risco inerente e método</w:t>
      </w:r>
    </w:p>
    <w:p>
      <w:pPr>
        <w:numPr>
          <w:ilvl w:val="0"/>
          <w:numId w:val="1039"/>
        </w:numPr>
      </w:pPr>
      <w:r>
        <w:t xml:space="preserve">Resposta, ação, proprietário, recursos, data e dependência</w:t>
      </w:r>
    </w:p>
    <w:p>
      <w:pPr>
        <w:numPr>
          <w:ilvl w:val="0"/>
          <w:numId w:val="1039"/>
        </w:numPr>
      </w:pPr>
      <w:r>
        <w:t xml:space="preserve">Risco residual, comparação apetite/tolerância e autoridade de aceitação</w:t>
      </w:r>
    </w:p>
    <w:p>
      <w:pPr>
        <w:numPr>
          <w:ilvl w:val="0"/>
          <w:numId w:val="1039"/>
        </w:numPr>
      </w:pPr>
      <w:r>
        <w:t xml:space="preserve">Indicador, gatilho de revisão, expiração de exceção e reteste</w:t>
      </w:r>
    </w:p>
    <w:bookmarkEnd w:id="177"/>
    <w:bookmarkStart w:id="178" w:name="folha-de-teste-de-controle"/>
    <w:p>
      <w:pPr>
        <w:pStyle w:val="Heading1"/>
      </w:pPr>
      <w:r>
        <w:t xml:space="preserve"># 22.3 Folha de teste de controle</w:t>
      </w:r>
    </w:p>
    <w:p>
      <w:pPr>
        <w:numPr>
          <w:ilvl w:val="0"/>
          <w:numId w:val="1040"/>
        </w:numPr>
      </w:pPr>
      <w:r>
        <w:t xml:space="preserve">Resultado, risco, controle, proprietário, frequência, sistemas, locais e período</w:t>
      </w:r>
    </w:p>
    <w:p>
      <w:pPr>
        <w:numPr>
          <w:ilvl w:val="0"/>
          <w:numId w:val="1040"/>
        </w:numPr>
      </w:pPr>
      <w:r>
        <w:t xml:space="preserve">Critérios de concepção e provas esperadas</w:t>
      </w:r>
    </w:p>
    <w:p>
      <w:pPr>
        <w:numPr>
          <w:ilvl w:val="0"/>
          <w:numId w:val="1040"/>
        </w:numPr>
      </w:pPr>
      <w:r>
        <w:t xml:space="preserve">Verificação completa da população e completude</w:t>
      </w:r>
    </w:p>
    <w:p>
      <w:pPr>
        <w:numPr>
          <w:ilvl w:val="0"/>
          <w:numId w:val="1040"/>
        </w:numPr>
      </w:pPr>
      <w:r>
        <w:t xml:space="preserve">Método de amostragem e itens selecionados</w:t>
      </w:r>
    </w:p>
    <w:p>
      <w:pPr>
        <w:numPr>
          <w:ilvl w:val="0"/>
          <w:numId w:val="1040"/>
        </w:numPr>
      </w:pPr>
      <w:r>
        <w:t xml:space="preserve">Procedimento, provas inspeccionadas, reavaliação e resultado</w:t>
      </w:r>
    </w:p>
    <w:p>
      <w:pPr>
        <w:numPr>
          <w:ilvl w:val="0"/>
          <w:numId w:val="1040"/>
        </w:numPr>
      </w:pPr>
      <w:r>
        <w:t xml:space="preserve">Excepções, causa, impacto, ação, proprietário, data e proteção provisória</w:t>
      </w:r>
    </w:p>
    <w:p>
      <w:pPr>
        <w:numPr>
          <w:ilvl w:val="0"/>
          <w:numId w:val="1040"/>
        </w:numPr>
      </w:pPr>
      <w:r>
        <w:t xml:space="preserve">Reteste, conclusão, limitações, revisor e aprovação</w:t>
      </w:r>
    </w:p>
    <w:bookmarkEnd w:id="178"/>
    <w:bookmarkStart w:id="180" w:name="avaliação-do-fornecedor"/>
    <w:p>
      <w:pPr>
        <w:pStyle w:val="Heading1"/>
      </w:pPr>
      <w:r>
        <w:t xml:space="preserve"># 22.4 Avaliação do fornecedor</w:t>
      </w:r>
    </w:p>
    <w:p>
      <w:pPr>
        <w:numPr>
          <w:ilvl w:val="0"/>
          <w:numId w:val="1041"/>
        </w:numPr>
      </w:pPr>
      <w:r>
        <w:t xml:space="preserve">Serviço, proprietário, criticidade, acesso, dados, locais, subcontratantes, dependências e alternativas</w:t>
      </w:r>
    </w:p>
    <w:p>
      <w:pPr>
        <w:numPr>
          <w:ilvl w:val="0"/>
          <w:numId w:val="1041"/>
        </w:numPr>
      </w:pPr>
      <w:r>
        <w:t xml:space="preserve">Due diligence, autenticidade, desenvolvimento seguro, vulnerabilidades, resiliência, histórico de incidentes e preocupações financeiras ou operacionais</w:t>
      </w:r>
    </w:p>
    <w:p>
      <w:pPr>
        <w:numPr>
          <w:ilvl w:val="0"/>
          <w:numId w:val="1041"/>
        </w:numPr>
      </w:pPr>
      <w:r>
        <w:t xml:space="preserve">Requisitos contratuais, direitos de prova, notificação, recuperação, retorno/destruição e saída</w:t>
      </w:r>
    </w:p>
    <w:p>
      <w:pPr>
        <w:numPr>
          <w:ilvl w:val="0"/>
          <w:numId w:val="1041"/>
        </w:numPr>
      </w:pPr>
      <w:r>
        <w:t xml:space="preserve">Acompanhamento, descobertas, exceções, ações corretivas, exercícios, incidentes, mudanças, renovação e rescisão</w:t>
      </w:r>
    </w:p>
    <w:bookmarkStart w:id="179" w:name="X386a5e99b0caadc9ef02f980db032f015f1af6f"/>
    <w:p>
      <w:pPr>
        <w:pStyle w:val="Heading2"/>
      </w:pPr>
      <w:r>
        <w:t xml:space="preserve">22.5 Lista de verificação de prontidão do gerente</w:t>
      </w:r>
    </w:p>
    <w:p>
      <w:pPr>
        <w:numPr>
          <w:ilvl w:val="0"/>
          <w:numId w:val="1042"/>
        </w:numPr>
      </w:pPr>
      <w:r>
        <w:t xml:space="preserve">Patrocinador, papéis, recursos, política e estratégia de risco aprovados</w:t>
      </w:r>
    </w:p>
    <w:p>
      <w:pPr>
        <w:numPr>
          <w:ilvl w:val="0"/>
          <w:numId w:val="1042"/>
        </w:numPr>
      </w:pPr>
      <w:r>
        <w:t xml:space="preserve">Escopo, stakeholders, obrigações, serviços críticos, dependências e fornecedores atuais</w:t>
      </w:r>
    </w:p>
    <w:p>
      <w:pPr>
        <w:numPr>
          <w:ilvl w:val="0"/>
          <w:numId w:val="1042"/>
        </w:numPr>
      </w:pPr>
      <w:r>
        <w:t xml:space="preserve">Activo, dados, sistema, serviço, identidade, vulnerabilidade e populações de risco reconciliadas</w:t>
      </w:r>
    </w:p>
    <w:p>
      <w:pPr>
        <w:numPr>
          <w:ilvl w:val="0"/>
          <w:numId w:val="1042"/>
        </w:numPr>
      </w:pPr>
      <w:r>
        <w:t xml:space="preserve">Perfis atuais e alvo suportados e aprovados</w:t>
      </w:r>
    </w:p>
    <w:p>
      <w:pPr>
        <w:numPr>
          <w:ilvl w:val="0"/>
          <w:numId w:val="1042"/>
        </w:numPr>
      </w:pPr>
      <w:r>
        <w:t xml:space="preserve">Plano de acção baseado no risco financiado e monitorizado</w:t>
      </w:r>
    </w:p>
    <w:p>
      <w:pPr>
        <w:numPr>
          <w:ilvl w:val="0"/>
          <w:numId w:val="1042"/>
        </w:numPr>
      </w:pPr>
      <w:r>
        <w:t xml:space="preserve">Evidências de segurança, monitoramento, incidente e recuperação testadas</w:t>
      </w:r>
    </w:p>
    <w:p>
      <w:pPr>
        <w:numPr>
          <w:ilvl w:val="0"/>
          <w:numId w:val="1042"/>
        </w:numPr>
      </w:pPr>
      <w:r>
        <w:t xml:space="preserve">Controladores de ciclo de vida do fornecedor operando</w:t>
      </w:r>
    </w:p>
    <w:p>
      <w:pPr>
        <w:numPr>
          <w:ilvl w:val="0"/>
          <w:numId w:val="1042"/>
        </w:numPr>
      </w:pPr>
      <w:r>
        <w:t xml:space="preserve">Métricas ligadas aos riscos e resultados</w:t>
      </w:r>
    </w:p>
    <w:p>
      <w:pPr>
        <w:numPr>
          <w:ilvl w:val="0"/>
          <w:numId w:val="1042"/>
        </w:numPr>
      </w:pPr>
      <w:r>
        <w:t xml:space="preserve">Excepções, aceitações, limitações e retestes visíveis para os tomadores de decisão</w:t>
      </w:r>
    </w:p>
    <w:bookmarkEnd w:id="179"/>
    <w:bookmarkEnd w:id="180"/>
    <w:bookmarkStart w:id="181" w:name="glossário-e-índice-de-assuntos"/>
    <w:p>
      <w:pPr>
        <w:pStyle w:val="Heading1"/>
      </w:pPr>
      <w:r>
        <w:t xml:space="preserve">23. Glossário e Índice de assuntos</w:t>
      </w:r>
    </w:p>
    <w:p>
      <w:pPr>
        <w:pStyle w:val="FirstParagraph"/>
      </w:pPr>
      <w:r>
        <w:rPr>
          <w:iCs/>
          <w:i/>
        </w:rPr>
        <w:t xml:space="preserve">Definições em inglês e um guia para tópicos principais.</w:t>
      </w:r>
    </w:p>
    <w:p>
      <w:pPr>
        <w:pStyle w:val="BodyText"/>
      </w:pPr>
      <w:r>
        <w:rPr>
          <w:bCs/>
          <w:b/>
        </w:rPr>
        <w:t xml:space="preserve">Categoria.</w:t>
      </w:r>
      <w:r>
        <w:t xml:space="preserve"> </w:t>
      </w:r>
      <w:r>
        <w:t xml:space="preserve">Um grupo de resultados de cibersegurança relacionados dentro de uma função.</w:t>
      </w:r>
    </w:p>
    <w:p>
      <w:pPr>
        <w:pStyle w:val="BodyText"/>
      </w:pPr>
      <w:r>
        <w:t xml:space="preserve">** Perfil Comunitário. ** Uma linha de base publicada de resultados CSF para o setor compartilhado, tecnologia, ameaça ou necessidades de caso de uso.</w:t>
      </w:r>
    </w:p>
    <w:p>
      <w:pPr>
        <w:pStyle w:val="BodyText"/>
      </w:pPr>
      <w:r>
        <w:rPr>
          <w:bCs/>
          <w:b/>
        </w:rPr>
        <w:t xml:space="preserve">Core.</w:t>
      </w:r>
      <w:r>
        <w:t xml:space="preserve"> </w:t>
      </w:r>
      <w:r>
        <w:t xml:space="preserve">A hierarquia de Funções, Categorias e Subcategorias que descreve os resultados da segurança cibernética.</w:t>
      </w:r>
    </w:p>
    <w:p>
      <w:pPr>
        <w:pStyle w:val="BodyText"/>
      </w:pPr>
      <w:r>
        <w:t xml:space="preserve">** Perfil atual.** Os resultados de um escopo definido está atualmente alcançando ou tentando alcançar, incluindo como ou em que medida.</w:t>
      </w:r>
    </w:p>
    <w:p>
      <w:pPr>
        <w:pStyle w:val="BodyText"/>
      </w:pPr>
      <w:r>
        <w:t xml:space="preserve">** Risco de cibersegurança. O possível efeito da incerteza sobre a informação e tecnologia e os objetivos organizacionais relacionados.</w:t>
      </w:r>
    </w:p>
    <w:p>
      <w:pPr>
        <w:pStyle w:val="BodyText"/>
      </w:pPr>
      <w:r>
        <w:rPr>
          <w:bCs/>
          <w:b/>
        </w:rPr>
        <w:t xml:space="preserve">Função.</w:t>
      </w:r>
      <w:r>
        <w:t xml:space="preserve"> </w:t>
      </w:r>
      <w:r>
        <w:t xml:space="preserve">O mais alto nível de resultado CSF: Govern, Identificar, Proteger, Detectar, Responder ou Recuperar.</w:t>
      </w:r>
    </w:p>
    <w:p>
      <w:pPr>
        <w:pStyle w:val="BodyText"/>
      </w:pPr>
      <w:r>
        <w:t xml:space="preserve">** Exemplo de Implementação. ** Uma ilustração nocional, orientada para a acção, de uma possível forma de apoiar um resultado essencial.</w:t>
      </w:r>
    </w:p>
    <w:p>
      <w:pPr>
        <w:pStyle w:val="BodyText"/>
      </w:pPr>
      <w:r>
        <w:t xml:space="preserve">** Referência informativa. ** Um mapeamento entre um resultado do núcleo e outro padrão, diretriz, regulação ou fonte.</w:t>
      </w:r>
    </w:p>
    <w:p>
      <w:pPr>
        <w:pStyle w:val="BodyText"/>
      </w:pPr>
      <w:r>
        <w:t xml:space="preserve">** Perfil Organizacional. ** Um mecanismo para descrever a atual e/ou a postura de segurança cibernética do alvo usando resultados essenciais.</w:t>
      </w:r>
    </w:p>
    <w:p>
      <w:pPr>
        <w:pStyle w:val="BodyText"/>
      </w:pPr>
      <w:r>
        <w:t xml:space="preserve">** Risco residual. O risco permanece após os controles e as respostas são consideradas.</w:t>
      </w:r>
    </w:p>
    <w:p>
      <w:pPr>
        <w:pStyle w:val="BodyText"/>
      </w:pPr>
      <w:r>
        <w:rPr>
          <w:bCs/>
          <w:b/>
        </w:rPr>
        <w:t xml:space="preserve">Apetece-lhe o riso.</w:t>
      </w:r>
      <w:r>
        <w:rPr>
          <w:bCs/>
          <w:b/>
        </w:rPr>
        <w:t xml:space="preserve"> </w:t>
      </w:r>
      <w:r>
        <w:t xml:space="preserve"> </w:t>
      </w:r>
      <w:r>
        <w:t xml:space="preserve">A ampla quantidade e tipo de risco que uma organização está disposta a perseguir ou manter.</w:t>
      </w:r>
    </w:p>
    <w:p>
      <w:pPr>
        <w:pStyle w:val="BodyText"/>
      </w:pPr>
      <w:r>
        <w:t xml:space="preserve">** Tolerância ao risco. ** Variação aceitável em torno de objetivos específicos ou desempenho.</w:t>
      </w:r>
    </w:p>
    <w:p>
      <w:pPr>
        <w:pStyle w:val="BodyText"/>
      </w:pPr>
      <w:r>
        <w:rPr>
          <w:bCs/>
          <w:b/>
        </w:rPr>
        <w:t xml:space="preserve">Subcategoria.</w:t>
      </w:r>
      <w:r>
        <w:rPr>
          <w:bCs/>
          <w:b/>
        </w:rPr>
        <w:t xml:space="preserve"> </w:t>
      </w:r>
      <w:r>
        <w:t xml:space="preserve"> </w:t>
      </w:r>
      <w:r>
        <w:t xml:space="preserve">Um resultado específico de cibersegurança dentro de uma categoria.</w:t>
      </w:r>
    </w:p>
    <w:p>
      <w:pPr>
        <w:pStyle w:val="BodyText"/>
      </w:pPr>
      <w:r>
        <w:t xml:space="preserve">** Perfil do Alvo. ** Os resultados selecionados e priorizados um escopo definido visa alcançar.</w:t>
      </w:r>
    </w:p>
    <w:p>
      <w:pPr>
        <w:pStyle w:val="BodyText"/>
      </w:pPr>
      <w:r>
        <w:rPr>
          <w:bCs/>
          <w:b/>
        </w:rPr>
        <w:t xml:space="preserve">Tier.</w:t>
      </w:r>
      <w:r>
        <w:t xml:space="preserve"> </w:t>
      </w:r>
      <w:r>
        <w:t xml:space="preserve">Contexto para o rigor da governança de risco de cibersegurança e práticas de gestão de risco.</w:t>
      </w:r>
    </w:p>
    <w:bookmarkEnd w:id="181"/>
    <w:bookmarkStart w:id="183" w:name="índice-de-assunto"/>
    <w:p>
      <w:pPr>
        <w:pStyle w:val="Heading1"/>
      </w:pPr>
      <w:r>
        <w:t xml:space="preserve"># 23.1 Índice de assunto</w:t>
      </w:r>
    </w:p>
    <w:bookmarkStart w:id="182" w:name="capítulos"/>
    <w:p>
      <w:pPr>
        <w:pStyle w:val="Heading2"/>
      </w:pPr>
      <w:r>
        <w:t xml:space="preserve">Capítulos</w:t>
      </w:r>
    </w:p>
    <w:p>
      <w:pPr>
        <w:pStyle w:val="FirstParagraph"/>
      </w:pPr>
      <w:r>
        <w:t xml:space="preserve">Controle de acesso , , 15-16, 22 , , Metrics , 14, 17 ,</w:t>
      </w:r>
      <w:r>
        <w:t xml:space="preserve"> </w:t>
      </w:r>
      <w:r>
        <w:t xml:space="preserve">• Inventário de ativos 5, 15, 22</w:t>
      </w:r>
      <w:r>
        <w:t xml:space="preserve"> </w:t>
      </w:r>
      <w:r>
        <w:t xml:space="preserve">• Preparação para auditorias • 14–15, 22 • Perfil Organizacional • 2–3, 10</w:t>
      </w:r>
      <w:r>
        <w:t xml:space="preserve"> </w:t>
      </w:r>
      <w:r>
        <w:t xml:space="preserve">Compliance 1 , 15 , Proteja 6 ,</w:t>
      </w:r>
      <w:r>
        <w:t xml:space="preserve"> </w:t>
      </w:r>
      <w:r>
        <w:t xml:space="preserve">Recupere</w:t>
      </w:r>
      <w:r>
        <w:t xml:space="preserve"> </w:t>
      </w:r>
      <w:r>
        <w:t xml:space="preserve">Detectar , , 7 , Risco apetite , , 12</w:t>
      </w:r>
      <w:r>
        <w:t xml:space="preserve"> </w:t>
      </w:r>
      <w:r>
        <w:t xml:space="preserve">A avaliação do risco</w:t>
      </w:r>
      <w:r>
        <w:t xml:space="preserve"> </w:t>
      </w:r>
      <w:r>
        <w:t xml:space="preserve">• Govern 4, 12–13, 17 • Cadeia de suprimentos</w:t>
      </w:r>
      <w:r>
        <w:t xml:space="preserve"> </w:t>
      </w:r>
      <w:r>
        <w:t xml:space="preserve">. Identifique .. 5 .</w:t>
      </w:r>
      <w:r>
        <w:t xml:space="preserve"> </w:t>
      </w:r>
      <w:r>
        <w:t xml:space="preserve">Resposta ao incidente .. 8, 15, 19 .. Verificação .. 14–16 .</w:t>
      </w:r>
      <w:r>
        <w:t xml:space="preserve"> </w:t>
      </w:r>
      <w:r>
        <w:t xml:space="preserve">• Analista júnior . . . .</w:t>
      </w:r>
    </w:p>
    <w:bookmarkEnd w:id="182"/>
    <w:bookmarkEnd w:id="183"/>
    <w:bookmarkStart w:id="198" w:name="referências-oficiais-e-estudo-adicional"/>
    <w:p>
      <w:pPr>
        <w:pStyle w:val="Heading1"/>
      </w:pPr>
      <w:r>
        <w:t xml:space="preserve">24. Referências Oficiais e Estudo Adicional</w:t>
      </w:r>
    </w:p>
    <w:p>
      <w:pPr>
        <w:pStyle w:val="FirstParagraph"/>
      </w:pPr>
      <w:r>
        <w:rPr>
          <w:iCs/>
          <w:i/>
        </w:rPr>
        <w:t xml:space="preserve">Publicações, ferramentas e documentação de projeto atuais do NIST.</w:t>
      </w:r>
    </w:p>
    <w:p>
      <w:pPr>
        <w:pStyle w:val="BodyText"/>
      </w:pPr>
      <w:hyperlink r:id="rId184">
        <w:r>
          <w:rPr>
            <w:rStyle w:val="Hyperlink"/>
          </w:rPr>
          <w:t xml:space="preserve">NIST Cybersecurity Framework 2.0 — CSWP 29</w:t>
        </w:r>
      </w:hyperlink>
    </w:p>
    <w:p>
      <w:pPr>
        <w:pStyle w:val="BodyText"/>
      </w:pPr>
      <w:hyperlink r:id="rId185">
        <w:r>
          <w:rPr>
            <w:rStyle w:val="Hyperlink"/>
          </w:rPr>
          <w:t xml:space="preserve">NIST Cybersecurity Framework website</w:t>
        </w:r>
      </w:hyperlink>
    </w:p>
    <w:p>
      <w:pPr>
        <w:pStyle w:val="BodyText"/>
      </w:pPr>
      <w:hyperlink r:id="rId13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Ferramenta de Referência CSF 2.0</w:t>
        </w:r>
      </w:hyperlink>
    </w:p>
    <w:p>
      <w:pPr>
        <w:pStyle w:val="BodyText"/>
      </w:pPr>
      <w:hyperlink r:id="rId186">
        <w:r>
          <w:rPr>
            <w:rStyle w:val="Hyperlink"/>
          </w:rPr>
          <w:t xml:space="preserve">CSF 2.0 Perguntas Frequentes</w:t>
        </w:r>
      </w:hyperlink>
    </w:p>
    <w:p>
      <w:pPr>
        <w:pStyle w:val="BodyText"/>
      </w:pPr>
      <w:hyperlink r:id="rId140">
        <w:r>
          <w:rPr>
            <w:rStyle w:val="Hyperlink"/>
          </w:rPr>
          <w:t xml:space="preserve">CSF 2.0 Perfis</w:t>
        </w:r>
      </w:hyperlink>
    </w:p>
    <w:p>
      <w:pPr>
        <w:pStyle w:val="BodyText"/>
      </w:pPr>
      <w:hyperlink r:id="rId187">
        <w:r>
          <w:rPr>
            <w:rStyle w:val="Hyperlink"/>
          </w:rPr>
          <w:t xml:space="preserve">CSF 2.0 Referências Informativas</w:t>
        </w:r>
      </w:hyperlink>
    </w:p>
    <w:p>
      <w:pPr>
        <w:pStyle w:val="BodyText"/>
      </w:pPr>
      <w:hyperlink r:id="rId188">
        <w:r>
          <w:rPr>
            <w:rStyle w:val="Hyperlink"/>
          </w:rPr>
          <w:t xml:space="preserve">CSF 2.0 Guia de Recursos e Visão Geral – SP 1299</w:t>
        </w:r>
      </w:hyperlink>
    </w:p>
    <w:p>
      <w:pPr>
        <w:pStyle w:val="BodyText"/>
      </w:pPr>
      <w:hyperlink r:id="rId189">
        <w:r>
          <w:rPr>
            <w:rStyle w:val="Hyperlink"/>
          </w:rPr>
          <w:t xml:space="preserve">CSF 2.0 Perfil Organizacional Guia de Início Rápido – SP 1301</w:t>
        </w:r>
      </w:hyperlink>
    </w:p>
    <w:p>
      <w:pPr>
        <w:pStyle w:val="BodyText"/>
      </w:pPr>
      <w:hyperlink r:id="rId190">
        <w:r>
          <w:rPr>
            <w:rStyle w:val="Hyperlink"/>
          </w:rPr>
          <w:t xml:space="preserve">CSF 2.0 Tiers Quick-Start Guide — SP 1302</w:t>
        </w:r>
      </w:hyperlink>
    </w:p>
    <w:p>
      <w:pPr>
        <w:pStyle w:val="BodyText"/>
      </w:pPr>
      <w:hyperlink r:id="rId191">
        <w:r>
          <w:rPr>
            <w:rStyle w:val="Hyperlink"/>
          </w:rPr>
          <w:t xml:space="preserve">CSF 2.0 Guia de Gestão de Riscos Empresariais — SP 1303</w:t>
        </w:r>
      </w:hyperlink>
    </w:p>
    <w:p>
      <w:pPr>
        <w:pStyle w:val="BodyText"/>
      </w:pPr>
      <w:hyperlink r:id="rId192">
        <w:r>
          <w:rPr>
            <w:rStyle w:val="Hyperlink"/>
          </w:rPr>
          <w:t xml:space="preserve">CSF 2.0 Small Business Quick-Start Guide — SP 1300</w:t>
        </w:r>
      </w:hyperlink>
    </w:p>
    <w:p>
      <w:pPr>
        <w:pStyle w:val="BodyText"/>
      </w:pPr>
      <w:hyperlink r:id="rId193">
        <w:r>
          <w:rPr>
            <w:rStyle w:val="Hyperlink"/>
          </w:rPr>
          <w:t xml:space="preserve">NIST SP 800-53 Rev. 5</w:t>
        </w:r>
      </w:hyperlink>
    </w:p>
    <w:p>
      <w:pPr>
        <w:pStyle w:val="BodyText"/>
      </w:pPr>
      <w:hyperlink r:id="rId194">
        <w:r>
          <w:rPr>
            <w:rStyle w:val="Hyperlink"/>
          </w:rPr>
          <w:t xml:space="preserve">NIST SP 800-61 Rev. 3 — Resposta a incidentes</w:t>
        </w:r>
      </w:hyperlink>
    </w:p>
    <w:p>
      <w:pPr>
        <w:pStyle w:val="BodyText"/>
      </w:pPr>
      <w:hyperlink r:id="rId195">
        <w:r>
          <w:rPr>
            <w:rStyle w:val="Hyperlink"/>
          </w:rPr>
          <w:t xml:space="preserve">NIST SP 800-218 — Secure Software Development Framework</w:t>
        </w:r>
      </w:hyperlink>
    </w:p>
    <w:p>
      <w:pPr>
        <w:pStyle w:val="BodyText"/>
      </w:pPr>
      <w:hyperlink r:id="rId196">
        <w:r>
          <w:rPr>
            <w:rStyle w:val="Hyperlink"/>
          </w:rPr>
          <w:t xml:space="preserve">NIST NICE Workforce Framework</w:t>
        </w:r>
      </w:hyperlink>
    </w:p>
    <w:bookmarkStart w:id="197" w:name="Xe3d0724cbc397f73548c5408409fe6e4a11d63b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 núcleo CSF é estável, enquanto exemplos de implementação online, referências informativas, orientações, mapeamentos, ameaças, tecnologias e obrigações podem mudar. Verifique as fontes oficiais NIST e os requisitos específicos da organização antes de agir.</w:t>
      </w:r>
    </w:p>
    <w:bookmarkEnd w:id="197"/>
    <w:bookmarkEnd w:id="19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9" Target="https://csrc.nist.gov/Projects/cybersecurity-framework/Filters#/csf/filters" TargetMode="External" /><Relationship Type="http://schemas.openxmlformats.org/officeDocument/2006/relationships/hyperlink" Id="rId195" Target="https://csrc.nist.gov/pubs/sp/800/218/final" TargetMode="External" /><Relationship Type="http://schemas.openxmlformats.org/officeDocument/2006/relationships/hyperlink" Id="rId193" Target="https://csrc.nist.gov/pubs/sp/800/53/r5/upd1/final" TargetMode="External" /><Relationship Type="http://schemas.openxmlformats.org/officeDocument/2006/relationships/hyperlink" Id="rId194" Target="https://csrc.nist.gov/pubs/sp/800/61/r3/final" TargetMode="External" /><Relationship Type="http://schemas.openxmlformats.org/officeDocument/2006/relationships/hyperlink" Id="rId127" Target="https://docs.defectdojo.com/" TargetMode="External" /><Relationship Type="http://schemas.openxmlformats.org/officeDocument/2006/relationships/hyperlink" Id="rId130" Target="https://docs.velociraptor.app/" TargetMode="External" /><Relationship Type="http://schemas.openxmlformats.org/officeDocument/2006/relationships/hyperlink" Id="rId106" Target="https://documentation.wazuh.com/current/quickstart.html" TargetMode="External" /><Relationship Type="http://schemas.openxmlformats.org/officeDocument/2006/relationships/hyperlink" Id="rId184" Target="https://doi.org/10.6028/NIST.CSWP.29" TargetMode="External" /><Relationship Type="http://schemas.openxmlformats.org/officeDocument/2006/relationships/hyperlink" Id="rId188" Target="https://doi.org/10.6028/NIST.SP.1299" TargetMode="External" /><Relationship Type="http://schemas.openxmlformats.org/officeDocument/2006/relationships/hyperlink" Id="rId192" Target="https://doi.org/10.6028/NIST.SP.1300" TargetMode="External" /><Relationship Type="http://schemas.openxmlformats.org/officeDocument/2006/relationships/hyperlink" Id="rId189" Target="https://doi.org/10.6028/NIST.SP.1301" TargetMode="External" /><Relationship Type="http://schemas.openxmlformats.org/officeDocument/2006/relationships/hyperlink" Id="rId190" Target="https://doi.org/10.6028/NIST.SP.1302" TargetMode="External" /><Relationship Type="http://schemas.openxmlformats.org/officeDocument/2006/relationships/hyperlink" Id="rId191" Target="https://doi.org/10.6028/NIST.SP.1303" TargetMode="External" /><Relationship Type="http://schemas.openxmlformats.org/officeDocument/2006/relationships/hyperlink" Id="rId115" Target="https://greenbone.github.io/docs/latest/" TargetMode="External" /><Relationship Type="http://schemas.openxmlformats.org/officeDocument/2006/relationships/hyperlink" Id="rId136" Target="https://opensearch.org/docs/latest/getting-started/" TargetMode="External" /><Relationship Type="http://schemas.openxmlformats.org/officeDocument/2006/relationships/hyperlink" Id="rId109" Target="https://osquery.readthedocs.io/en/stable/" TargetMode="External" /><Relationship Type="http://schemas.openxmlformats.org/officeDocument/2006/relationships/hyperlink" Id="rId118" Target="https://trivy.dev/latest/" TargetMode="External" /><Relationship Type="http://schemas.openxmlformats.org/officeDocument/2006/relationships/hyperlink" Id="rId124" Target="https://www.keycloak.org/guides" TargetMode="External" /><Relationship Type="http://schemas.openxmlformats.org/officeDocument/2006/relationships/hyperlink" Id="rId185" Target="https://www.nist.gov/cyberframework" TargetMode="External" /><Relationship Type="http://schemas.openxmlformats.org/officeDocument/2006/relationships/hyperlink" Id="rId186" Target="https://www.nist.gov/cyberframework/faqs" TargetMode="External" /><Relationship Type="http://schemas.openxmlformats.org/officeDocument/2006/relationships/hyperlink" Id="rId187" Target="https://www.nist.gov/cyberframework/informative-references" TargetMode="External" /><Relationship Type="http://schemas.openxmlformats.org/officeDocument/2006/relationships/hyperlink" Id="rId140" Target="https://www.nist.gov/cyberframework/profiles" TargetMode="External" /><Relationship Type="http://schemas.openxmlformats.org/officeDocument/2006/relationships/hyperlink" Id="rId196" Target="https://www.nist.gov/itl/applied-cybersecurity/nice/nice-framework-resource-center" TargetMode="External" /><Relationship Type="http://schemas.openxmlformats.org/officeDocument/2006/relationships/hyperlink" Id="rId112" Target="https://www.open-scap.org/getting-started/" TargetMode="External" /><Relationship Type="http://schemas.openxmlformats.org/officeDocument/2006/relationships/hyperlink" Id="rId133" Target="https://www.openpolicyagent.org/docs" TargetMode="External" /><Relationship Type="http://schemas.openxmlformats.org/officeDocument/2006/relationships/hyperlink" Id="rId121" Target="https://www.zaproxy.org/getting-start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2026-07-27T22:33:13Z</dcterms:created>
  <dcterms:modified xsi:type="dcterms:W3CDTF">2026-07-27T22:33:13Z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