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CIS Controles de Seguridad Crítica v8.1</w:t>
      </w:r>
    </w:p>
    <w:p>
      <w:pPr>
        <w:pStyle w:val="BodyText"/>
      </w:pPr>
      <w:r>
        <w:t xml:space="preserve">** Aplicación práctica, medición, evidencia y herramientas de código abierto**</w:t>
      </w:r>
    </w:p>
    <w:p>
      <w:pPr>
        <w:pStyle w:val="BodyText"/>
      </w:pPr>
      <w:r>
        <w:rPr>
          <w:i/>
          <w:iCs/>
        </w:rPr>
        <w:t xml:space="preserve">Un manual de trabajo para administradores, analistas juniores, estudiantes, cambiadores de carrera, asesores y equipos de seguridad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10"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9"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9"/>
    <w:bookmarkEnd w:id="10"/>
    <w:bookmarkStart w:id="11" w:name="prefacio"/>
    <w:p>
      <w:pPr>
        <w:pStyle w:val="Heading1"/>
      </w:pPr>
      <w:r>
        <w:t xml:space="preserve">Prefacio</w:t>
      </w:r>
    </w:p>
    <w:p>
      <w:pPr>
        <w:pStyle w:val="FirstParagraph"/>
      </w:pPr>
      <w:r>
        <w:rPr>
          <w:i/>
          <w:iCs/>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11"/>
    <w:bookmarkStart w:id="12"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pStyle w:val="Compact"/>
        <w:numPr>
          <w:ilvl w:val="0"/>
          <w:numId w:val="1002"/>
        </w:numPr>
      </w:pPr>
      <w:r>
        <w:t xml:space="preserve">Controles CIS v8.1 Fundaciones</w:t>
      </w:r>
    </w:p>
    <w:p>
      <w:pPr>
        <w:pStyle w:val="FirstParagraph"/>
      </w:pPr>
      <w:r>
        <w:rPr>
          <w:i/>
          <w:iCs/>
        </w:rPr>
        <w:t xml:space="preserve">La versión actual, estructura, propósito y limitaciones.</w:t>
      </w:r>
    </w:p>
    <w:p>
      <w:pPr>
        <w:pStyle w:val="BodyText"/>
      </w:pPr>
      <w:r>
        <w:t xml:space="preserve">“El control organiza 153 Salvaguardias en un programa defensivo práctico”</w:t>
      </w:r>
      <w:r>
        <w:t xml:space="preserve"> </w:t>
      </w:r>
      <w:r>
        <w:t xml:space="preserve">(Nota: 3.94164in” alt=</w:t>
      </w:r>
      <w:r>
        <w:t xml:space="preserve">“Los controles organizan 153 Salvaguardias en un programa defensivo práctico.”</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
          <w:bCs/>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12"/>
    <w:bookmarkStart w:id="13" w:name="grupos-de-aplicación-y-prioridades"/>
    <w:p>
      <w:pPr>
        <w:pStyle w:val="Heading1"/>
      </w:pPr>
      <w:r>
        <w:t xml:space="preserve">2. Grupos de aplicación y prioridades</w:t>
      </w:r>
    </w:p>
    <w:p>
      <w:pPr>
        <w:pStyle w:val="FirstParagraph"/>
      </w:pPr>
      <w:r>
        <w:rPr>
          <w:i/>
          <w:iCs/>
        </w:rPr>
        <w:t xml:space="preserve">Cómo IG1, IG2, y las organizaciones de ayuda IG3 eligen un punto de partida realista.</w:t>
      </w:r>
    </w:p>
    <w:p>
      <w:pPr>
        <w:pStyle w:val="BodyText"/>
      </w:pPr>
      <w:r>
        <w:t xml:space="preserve">■img src=</w:t>
      </w:r>
      <w:r>
        <w:t xml:space="preserve">“media/image2.png”</w:t>
      </w:r>
      <w:r>
        <w:t xml:space="preserve"> </w:t>
      </w:r>
      <w:r>
        <w:t xml:space="preserve">estilo=</w:t>
      </w:r>
      <w:r>
        <w:t xml:space="preserve">“Ancho:6.15in; Altura:3.39605in”</w:t>
      </w:r>
      <w:r>
        <w:t xml:space="preserve"> </w:t>
      </w:r>
      <w:r>
        <w:t xml:space="preserve">alt=</w:t>
      </w:r>
      <w:r>
        <w:t xml:space="preserve">“Cada grupo se construye sobre el grupo anterior; IG3 contiene todas las Salvaguardias.”</w:t>
      </w:r>
      <w:r>
        <w:t xml:space="preserve"> </w:t>
      </w:r>
      <w:r>
        <w:t xml:space="preserve">/</w:t>
      </w:r>
    </w:p>
    <w:p>
      <w:pPr>
        <w:pStyle w:val="BodyText"/>
      </w:pPr>
      <w:r>
        <w:t xml:space="preserve">Gráfico 2 Progresión del Grupo de Aplicación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La situación física</w:t>
            </w:r>
            <w:r>
              <w:t xml:space="preserve"> </w:t>
            </w:r>
            <w:r>
              <w:t xml:space="preserve">Silencioso**</w:t>
            </w:r>
          </w:p>
        </w:tc>
      </w:tr>
      <w:tr>
        <w:tc>
          <w:tcPr/>
          <w:p>
            <w:pPr>
              <w:pStyle w:val="Compact"/>
            </w:pPr>
            <w:r>
              <w:t xml:space="preserve">IG1</w:t>
            </w:r>
          </w:p>
        </w:tc>
      </w:tr>
      <w:tr>
        <w:tc>
          <w:tcPr/>
          <w:p>
            <w:pPr>
              <w:pStyle w:val="Compact"/>
            </w:pPr>
            <w:r>
              <w:t xml:space="preserve">IG2</w:t>
            </w:r>
          </w:p>
        </w:tc>
      </w:tr>
      <w:tr>
        <w:tc>
          <w:tcPr/>
          <w:p>
            <w:pPr>
              <w:pStyle w:val="Compac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pStyle w:val="Compact"/>
        <w:numPr>
          <w:ilvl w:val="0"/>
          <w:numId w:val="1005"/>
        </w:numPr>
      </w:pPr>
      <w:r>
        <w:t xml:space="preserve">Gobernanza, alcance y propiedad</w:t>
      </w:r>
    </w:p>
    <w:p>
      <w:pPr>
        <w:pStyle w:val="FirstParagraph"/>
      </w:pPr>
      <w:r>
        <w:rPr>
          <w:i/>
          <w:iCs/>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
          <w:bCs/>
        </w:rPr>
        <w:t xml:space="preserve">Rol</w:t>
      </w:r>
      <w:r>
        <w:t xml:space="preserve"> </w:t>
      </w:r>
      <w:r>
        <w:t xml:space="preserve">|</w:t>
      </w:r>
      <w:r>
        <w:t xml:space="preserve"> </w:t>
      </w:r>
      <w:r>
        <w:rPr>
          <w:b/>
          <w:bCs/>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13"/>
    <w:bookmarkStart w:id="14" w:name="X6a3aeb613869a9a4041395cfc3b30b698b888c4"/>
    <w:p>
      <w:pPr>
        <w:pStyle w:val="Heading1"/>
      </w:pPr>
      <w:r>
        <w:t xml:space="preserve">4. Medición con la especificación de evaluación CIS</w:t>
      </w:r>
    </w:p>
    <w:p>
      <w:pPr>
        <w:pStyle w:val="FirstParagraph"/>
      </w:pPr>
      <w:r>
        <w:rPr>
          <w:i/>
          <w:iCs/>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14"/>
    <w:bookmarkStart w:id="15" w:name="aplicación-de-la-hoja-de-ruta"/>
    <w:p>
      <w:pPr>
        <w:pStyle w:val="Heading1"/>
      </w:pPr>
      <w:r>
        <w:t xml:space="preserve">5. Aplicación de la hoja de ruta</w:t>
      </w:r>
    </w:p>
    <w:p>
      <w:pPr>
        <w:pStyle w:val="FirstParagraph"/>
      </w:pPr>
      <w:r>
        <w:rPr>
          <w:i/>
          <w:iCs/>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
          <w:bCs/>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15"/>
    <w:bookmarkStart w:id="16" w:name="X81f4d9d1cf949789b733a767fd2187f45480d1b"/>
    <w:p>
      <w:pPr>
        <w:pStyle w:val="Heading1"/>
      </w:pPr>
      <w:r>
        <w:t xml:space="preserve">6. Control 1 - Inventario y Control de Activos Empresarios</w:t>
      </w:r>
    </w:p>
    <w:p>
      <w:pPr>
        <w:pStyle w:val="FirstParagraph"/>
      </w:pPr>
      <w:r>
        <w:rPr>
          <w:i/>
          <w:iCs/>
        </w:rPr>
        <w:t xml:space="preserve">Las 5 Salvaguardias, significado claro, enfoque de verificación y evidencia de ejemplo</w:t>
      </w:r>
      <w:r>
        <w:t xml:space="preserve">.</w:t>
      </w:r>
    </w:p>
    <w:p>
      <w:pPr>
        <w:pStyle w:val="BodyText"/>
      </w:pPr>
      <w:r>
        <w:t xml:space="preserve">■img src=</w:t>
      </w:r>
      <w:r>
        <w:t xml:space="preserve">“media/image4.png”</w:t>
      </w:r>
      <w:r>
        <w:t xml:space="preserve"> </w:t>
      </w:r>
      <w:r>
        <w:t xml:space="preserve">style=</w:t>
      </w:r>
      <w:r>
        <w:t xml:space="preserve">“width:6.15in;height:3.38991in”</w:t>
      </w:r>
      <w:r>
        <w:t xml:space="preserve"> </w:t>
      </w:r>
      <w:r>
        <w:t xml:space="preserve">alt=</w:t>
      </w:r>
      <w:r>
        <w:t xml:space="preserve">“Descubrimiento, reconciliación, respuesta y revisión mantienen a las poblaciones fundacionales actuales.”</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1.1</w:t>
            </w:r>
          </w:p>
        </w:tc>
      </w:tr>
      <w:tr>
        <w:tc>
          <w:tcPr/>
          <w:p>
            <w:pPr>
              <w:pStyle w:val="Compact"/>
            </w:pPr>
            <w:r>
              <w:t xml:space="preserve">1.2</w:t>
            </w:r>
          </w:p>
        </w:tc>
      </w:tr>
      <w:tr>
        <w:tc>
          <w:tcPr/>
          <w:p>
            <w:pPr>
              <w:pStyle w:val="Compact"/>
            </w:pPr>
            <w:r>
              <w:t xml:space="preserve">1.3</w:t>
            </w:r>
          </w:p>
        </w:tc>
      </w:tr>
      <w:tr>
        <w:tc>
          <w:tcPr/>
          <w:p>
            <w:pPr>
              <w:pStyle w:val="Compact"/>
            </w:pPr>
            <w:r>
              <w:t xml:space="preserve">1.4</w:t>
            </w:r>
          </w:p>
        </w:tc>
      </w:tr>
      <w:tr>
        <w:tc>
          <w:tcPr/>
          <w:p>
            <w:pPr>
              <w:pStyle w:val="Compac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6"/>
    <w:bookmarkStart w:id="17" w:name="X7af2b88095d7b03a53fca2829b4a7a66e9259a3"/>
    <w:p>
      <w:pPr>
        <w:pStyle w:val="Heading1"/>
      </w:pPr>
      <w:r>
        <w:t xml:space="preserve">7. Control 2 - Inventario y control de activos de software</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2.1</w:t>
            </w:r>
          </w:p>
        </w:tc>
      </w:tr>
      <w:tr>
        <w:tc>
          <w:tcPr/>
          <w:p>
            <w:pPr>
              <w:pStyle w:val="Compact"/>
            </w:pPr>
            <w:r>
              <w:t xml:space="preserve">2.2</w:t>
            </w:r>
          </w:p>
        </w:tc>
      </w:tr>
      <w:tr>
        <w:tc>
          <w:tcPr/>
          <w:p>
            <w:pPr>
              <w:pStyle w:val="Compact"/>
            </w:pPr>
            <w:r>
              <w:t xml:space="preserve">2.3</w:t>
            </w:r>
          </w:p>
        </w:tc>
      </w:tr>
      <w:tr>
        <w:tc>
          <w:tcPr/>
          <w:p>
            <w:pPr>
              <w:pStyle w:val="Compact"/>
            </w:pPr>
            <w:r>
              <w:t xml:space="preserve">2.4</w:t>
            </w:r>
          </w:p>
        </w:tc>
      </w:tr>
      <w:tr>
        <w:tc>
          <w:tcPr/>
          <w:p>
            <w:pPr>
              <w:pStyle w:val="Compac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pPr>
            <w:r>
              <w:t xml:space="preserve">2.6</w:t>
            </w:r>
          </w:p>
        </w:tc>
      </w:tr>
      <w:tr>
        <w:tc>
          <w:tcPr/>
          <w:p>
            <w:pPr>
              <w:pStyle w:val="Compac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Compact"/>
        <w:numPr>
          <w:ilvl w:val="0"/>
          <w:numId w:val="1009"/>
        </w:numPr>
      </w:pPr>
      <w:r>
        <w:t xml:space="preserve">Control 3 - Protección de datos</w:t>
      </w:r>
    </w:p>
    <w:p>
      <w:pPr>
        <w:pStyle w:val="FirstParagraph"/>
      </w:pPr>
      <w:r>
        <w:rPr>
          <w:i/>
          <w:iCs/>
        </w:rPr>
        <w:t xml:space="preserve">Todas las 14 Salvaguardias, significado claro, enfoque de verificación y evidencia de ejemplo</w:t>
      </w:r>
      <w:r>
        <w:t xml:space="preserve">.</w:t>
      </w:r>
    </w:p>
    <w:p>
      <w:pPr>
        <w:pStyle w:val="BodyText"/>
      </w:pPr>
      <w:r>
        <w:t xml:space="preserve">יimg src=</w:t>
      </w:r>
      <w:r>
        <w:t xml:space="preserve">“media/image5.png”</w:t>
      </w:r>
      <w:r>
        <w:t xml:space="preserve"> </w:t>
      </w:r>
      <w:r>
        <w:t xml:space="preserve">style=</w:t>
      </w:r>
      <w:r>
        <w:t xml:space="preserve">“width:6.15in;height:3.39605in”</w:t>
      </w:r>
      <w:r>
        <w:t xml:space="preserve"> </w:t>
      </w:r>
      <w:r>
        <w:t xml:space="preserve">alt=</w:t>
      </w:r>
      <w:r>
        <w:t xml:space="preserve">“Descubrir, clasificar, proteger, retener y disponer de datos de acuerdo a la sensibilidad y la necesidad.”</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3.1</w:t>
            </w:r>
          </w:p>
        </w:tc>
      </w:tr>
      <w:tr>
        <w:tc>
          <w:tcPr/>
          <w:p>
            <w:pPr>
              <w:pStyle w:val="Compact"/>
            </w:pPr>
            <w:r>
              <w:t xml:space="preserve">TEN 3.2</w:t>
            </w:r>
          </w:p>
        </w:tc>
      </w:tr>
      <w:tr>
        <w:tc>
          <w:tcPr/>
          <w:p>
            <w:pPr>
              <w:pStyle w:val="Compac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7"/>
    <w:bookmarkStart w:id="18" w:name="X5ba1fcc9db7e50e6d8dc42ad38dcd74c5fbb621"/>
    <w:p>
      <w:pPr>
        <w:pStyle w:val="Heading1"/>
      </w:pPr>
      <w:r>
        <w:t xml:space="preserve">9. Control 4 — Configuración segura de activos y software empresarial</w:t>
      </w:r>
    </w:p>
    <w:p>
      <w:pPr>
        <w:pStyle w:val="FirstParagraph"/>
      </w:pPr>
      <w:r>
        <w:rPr>
          <w:i/>
          <w:iCs/>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
          <w:iCs/>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5.1</w:t>
            </w:r>
          </w:p>
        </w:tc>
      </w:tr>
      <w:tr>
        <w:tc>
          <w:tcPr/>
          <w:p>
            <w:pPr>
              <w:pStyle w:val="Compact"/>
            </w:pPr>
            <w:r>
              <w:t xml:space="preserve">TEN 5.2</w:t>
            </w:r>
          </w:p>
        </w:tc>
      </w:tr>
      <w:tr>
        <w:tc>
          <w:tcPr/>
          <w:p>
            <w:pPr>
              <w:pStyle w:val="Compac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8"/>
    <w:bookmarkStart w:id="19" w:name="control-6-access-control-management"/>
    <w:p>
      <w:pPr>
        <w:pStyle w:val="Heading1"/>
      </w:pPr>
      <w:r>
        <w:t xml:space="preserve">11. Control 6 — Access Control Management</w:t>
      </w:r>
    </w:p>
    <w:p>
      <w:pPr>
        <w:pStyle w:val="FirstParagraph"/>
      </w:pPr>
      <w:r>
        <w:rPr>
          <w:i/>
          <w:iCs/>
        </w:rPr>
        <w:t xml:space="preserve">Las 8 Salvaguardias, significado claro, enfoque de verificación y evidencia de ejemplo</w:t>
      </w:r>
      <w:r>
        <w:t xml:space="preserve">.</w:t>
      </w:r>
    </w:p>
    <w:p>
      <w:pPr>
        <w:pStyle w:val="BodyText"/>
      </w:pPr>
      <w:r>
        <w:t xml:space="preserve">יimg src=</w:t>
      </w:r>
      <w:r>
        <w:t xml:space="preserve">“media/image6.png”</w:t>
      </w:r>
      <w:r>
        <w:t xml:space="preserve"> </w:t>
      </w:r>
      <w:r>
        <w:t xml:space="preserve">style=</w:t>
      </w:r>
      <w:r>
        <w:t xml:space="preserve">“width:6.15in;height:3.03192in”</w:t>
      </w:r>
      <w:r>
        <w:t xml:space="preserve"> </w:t>
      </w:r>
      <w:r>
        <w:t xml:space="preserve">alt=</w:t>
      </w:r>
      <w:r>
        <w:t xml:space="preserve">“Las cuentas y privilegios requieren la creación aprobada, la autenticación fuerte, la revisión y la revocación oportuna”</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6.1 TEN Establezca un proceso de concesión de acceso</w:t>
            </w:r>
          </w:p>
        </w:tc>
      </w:tr>
      <w:tr>
        <w:tc>
          <w:tcPr/>
          <w:p>
            <w:pPr>
              <w:pStyle w:val="Compact"/>
            </w:pPr>
            <w:r>
              <w:t xml:space="preserve">6.2</w:t>
            </w:r>
          </w:p>
        </w:tc>
      </w:tr>
      <w:tr>
        <w:tc>
          <w:tcPr/>
          <w:p>
            <w:pPr>
              <w:pStyle w:val="Compact"/>
            </w:pPr>
            <w:r>
              <w:t xml:space="preserve">TEN 6.3</w:t>
            </w:r>
          </w:p>
        </w:tc>
      </w:tr>
      <w:tr>
        <w:tc>
          <w:tcPr/>
          <w:p>
            <w:pPr>
              <w:pStyle w:val="Compac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
          <w:iCs/>
        </w:rPr>
        <w:t xml:space="preserve">Las 7 Salvaguardias, significado claro, enfoque de verificación y evidencia de ejemplo</w:t>
      </w:r>
      <w:r>
        <w:t xml:space="preserve">.</w:t>
      </w:r>
    </w:p>
    <w:p>
      <w:pPr>
        <w:pStyle w:val="BodyText"/>
      </w:pPr>
      <w:r>
        <w:t xml:space="preserve">■img src=</w:t>
      </w:r>
      <w:r>
        <w:t xml:space="preserve">“media/image7.png”</w:t>
      </w:r>
      <w:r>
        <w:t xml:space="preserve"> </w:t>
      </w:r>
      <w:r>
        <w:t xml:space="preserve">estilo=</w:t>
      </w:r>
      <w:r>
        <w:t xml:space="preserve">“width:6.15in;height:3.14547in”</w:t>
      </w:r>
      <w:r>
        <w:t xml:space="preserve"> </w:t>
      </w:r>
      <w:r>
        <w:t xml:space="preserve">alt=</w:t>
      </w:r>
      <w:r>
        <w:t xml:space="preserve">“Cobertura completa y materia de remediación verificada más que producir informes de escaneo.”</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7.1</w:t>
            </w:r>
          </w:p>
        </w:tc>
      </w:tr>
      <w:tr>
        <w:tc>
          <w:tcPr/>
          <w:p>
            <w:pPr>
              <w:pStyle w:val="Compact"/>
            </w:pPr>
            <w:r>
              <w:t xml:space="preserve">TEN 7.2</w:t>
            </w:r>
          </w:p>
        </w:tc>
      </w:tr>
      <w:tr>
        <w:tc>
          <w:tcPr/>
          <w:p>
            <w:pPr>
              <w:pStyle w:val="Compact"/>
            </w:pPr>
            <w:r>
              <w:t xml:space="preserve">7.3</w:t>
            </w:r>
          </w:p>
        </w:tc>
      </w:tr>
      <w:tr>
        <w:tc>
          <w:tcPr/>
          <w:p>
            <w:pPr>
              <w:pStyle w:val="Compac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9"/>
    <w:bookmarkStart w:id="20" w:name="control-8-audit-log-management"/>
    <w:p>
      <w:pPr>
        <w:pStyle w:val="Heading1"/>
      </w:pPr>
      <w:r>
        <w:t xml:space="preserve">13. Control 8 — Audit Log Management</w:t>
      </w:r>
    </w:p>
    <w:p>
      <w:pPr>
        <w:pStyle w:val="FirstParagraph"/>
      </w:pPr>
      <w:r>
        <w:rPr>
          <w:i/>
          <w:iCs/>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tención 8.1</w:t>
            </w:r>
          </w:p>
        </w:tc>
      </w:tr>
      <w:tr>
        <w:tc>
          <w:tcPr/>
          <w:p>
            <w:pPr>
              <w:pStyle w:val="Compact"/>
            </w:pPr>
            <w:r>
              <w:t xml:space="preserve">8.2</w:t>
            </w:r>
          </w:p>
        </w:tc>
      </w:tr>
      <w:tr>
        <w:tc>
          <w:tcPr/>
          <w:p>
            <w:pPr>
              <w:pStyle w:val="Compact"/>
            </w:pPr>
            <w:r>
              <w:t xml:space="preserve">8.3</w:t>
            </w:r>
          </w:p>
        </w:tc>
      </w:tr>
      <w:tr>
        <w:tc>
          <w:tcPr/>
          <w:p>
            <w:pPr>
              <w:pStyle w:val="Compac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pPr>
            <w:r>
              <w:t xml:space="preserve">8.5</w:t>
            </w:r>
          </w:p>
        </w:tc>
      </w:tr>
      <w:tr>
        <w:tc>
          <w:tcPr/>
          <w:p>
            <w:pPr>
              <w:pStyle w:val="Compact"/>
            </w:pPr>
            <w:r>
              <w:t xml:space="preserve">8.6</w:t>
            </w:r>
          </w:p>
        </w:tc>
      </w:tr>
      <w:tr>
        <w:tc>
          <w:tcPr/>
          <w:p>
            <w:pPr>
              <w:pStyle w:val="Compact"/>
            </w:pPr>
            <w:r>
              <w:t xml:space="preserve">8.7</w:t>
            </w:r>
          </w:p>
        </w:tc>
      </w:tr>
      <w:tr>
        <w:tc>
          <w:tcPr/>
          <w:p>
            <w:pPr>
              <w:pStyle w:val="Compact"/>
            </w:pPr>
            <w:r>
              <w:t xml:space="preserve">8.8</w:t>
            </w:r>
          </w:p>
        </w:tc>
      </w:tr>
      <w:tr>
        <w:tc>
          <w:tcPr/>
          <w:p>
            <w:pPr>
              <w:pStyle w:val="Compact"/>
            </w:pPr>
            <w:r>
              <w:t xml:space="preserve">8.9</w:t>
            </w:r>
          </w:p>
        </w:tc>
      </w:tr>
      <w:tr>
        <w:tc>
          <w:tcPr/>
          <w:p>
            <w:pPr>
              <w:pStyle w:val="Compact"/>
            </w:pPr>
            <w:r>
              <w:t xml:space="preserve">8.10</w:t>
            </w:r>
          </w:p>
        </w:tc>
      </w:tr>
      <w:tr>
        <w:tc>
          <w:tcPr/>
          <w:p>
            <w:pPr>
              <w:pStyle w:val="Compact"/>
            </w:pPr>
            <w:r>
              <w:t xml:space="preserve">8.11</w:t>
            </w:r>
          </w:p>
        </w:tc>
      </w:tr>
      <w:tr>
        <w:tc>
          <w:tcPr/>
          <w:p>
            <w:pPr>
              <w:pStyle w:val="Compac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0"/>
    <w:bookmarkStart w:id="21" w:name="X61a6fa901b4cb4af355893d1db14e759896d15a"/>
    <w:p>
      <w:pPr>
        <w:pStyle w:val="Heading1"/>
      </w:pPr>
      <w:r>
        <w:t xml:space="preserve">14. Control 9 - Protección de correo electrónico y navegador web</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9.1 TENCIÓN Asegurar el uso de sólo navegadores completos y clientes de correo electrónico</w:t>
            </w:r>
          </w:p>
        </w:tc>
      </w:tr>
      <w:tr>
        <w:tc>
          <w:tcPr/>
          <w:p>
            <w:pPr>
              <w:pStyle w:val="Compact"/>
            </w:pPr>
            <w:r>
              <w:t xml:space="preserve">TEN 9.2</w:t>
            </w:r>
          </w:p>
        </w:tc>
      </w:tr>
      <w:tr>
        <w:tc>
          <w:tcPr/>
          <w:p>
            <w:pPr>
              <w:pStyle w:val="Compact"/>
            </w:pPr>
            <w:r>
              <w:t xml:space="preserve">9.3</w:t>
            </w:r>
          </w:p>
        </w:tc>
      </w:tr>
      <w:tr>
        <w:tc>
          <w:tcPr/>
          <w:p>
            <w:pPr>
              <w:pStyle w:val="Compact"/>
            </w:pPr>
            <w:r>
              <w:t xml:space="preserve">9.4</w:t>
            </w:r>
          </w:p>
        </w:tc>
      </w:tr>
      <w:tr>
        <w:tc>
          <w:tcPr/>
          <w:p>
            <w:pPr>
              <w:pStyle w:val="Compact"/>
            </w:pPr>
            <w:r>
              <w:t xml:space="preserve">TEN 9.5</w:t>
            </w:r>
          </w:p>
        </w:tc>
      </w:tr>
      <w:tr>
        <w:tc>
          <w:tcPr/>
          <w:p>
            <w:pPr>
              <w:pStyle w:val="Compact"/>
            </w:pPr>
            <w:r>
              <w:t xml:space="preserve">TEN 9.6</w:t>
            </w:r>
          </w:p>
        </w:tc>
      </w:tr>
      <w:tr>
        <w:tc>
          <w:tcPr/>
          <w:p>
            <w:pPr>
              <w:pStyle w:val="Compac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1"/>
    <w:bookmarkStart w:id="22" w:name="control-10-malware-defenses"/>
    <w:p>
      <w:pPr>
        <w:pStyle w:val="Heading1"/>
      </w:pPr>
      <w:r>
        <w:t xml:space="preserve">15. Control 10 — Malware Defenses</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10.1</w:t>
            </w:r>
          </w:p>
        </w:tc>
      </w:tr>
      <w:tr>
        <w:tc>
          <w:tcPr/>
          <w:p>
            <w:pPr>
              <w:pStyle w:val="Compact"/>
            </w:pPr>
            <w:r>
              <w:t xml:space="preserve">10.2</w:t>
            </w:r>
          </w:p>
        </w:tc>
      </w:tr>
      <w:tr>
        <w:tc>
          <w:tcPr/>
          <w:p>
            <w:pPr>
              <w:pStyle w:val="Compact"/>
            </w:pPr>
            <w:r>
              <w:t xml:space="preserve">TEN 10.3</w:t>
            </w:r>
          </w:p>
        </w:tc>
      </w:tr>
      <w:tr>
        <w:tc>
          <w:tcPr/>
          <w:p>
            <w:pPr>
              <w:pStyle w:val="Compact"/>
            </w:pPr>
            <w:r>
              <w:t xml:space="preserve">10.4</w:t>
            </w:r>
          </w:p>
        </w:tc>
      </w:tr>
      <w:tr>
        <w:tc>
          <w:tcPr/>
          <w:p>
            <w:pPr>
              <w:pStyle w:val="Compact"/>
            </w:pPr>
            <w:r>
              <w:t xml:space="preserve">10.5</w:t>
            </w:r>
          </w:p>
        </w:tc>
      </w:tr>
      <w:tr>
        <w:tc>
          <w:tcPr/>
          <w:p>
            <w:pPr>
              <w:pStyle w:val="Compact"/>
            </w:pPr>
            <w:r>
              <w:t xml:space="preserve">10.6</w:t>
            </w:r>
          </w:p>
        </w:tc>
      </w:tr>
      <w:tr>
        <w:tc>
          <w:tcPr/>
          <w:p>
            <w:pPr>
              <w:pStyle w:val="Compac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2"/>
    <w:bookmarkStart w:id="23" w:name="control-11-data-recovery"/>
    <w:p>
      <w:pPr>
        <w:pStyle w:val="Heading1"/>
      </w:pPr>
      <w:r>
        <w:t xml:space="preserve">16. Control 11 — Data Recovery</w:t>
      </w:r>
    </w:p>
    <w:p>
      <w:pPr>
        <w:pStyle w:val="FirstParagraph"/>
      </w:pPr>
      <w:r>
        <w:rPr>
          <w:i/>
          <w:iCs/>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11.1</w:t>
            </w:r>
          </w:p>
        </w:tc>
      </w:tr>
      <w:tr>
        <w:tc>
          <w:tcPr/>
          <w:p>
            <w:pPr>
              <w:pStyle w:val="Compact"/>
            </w:pPr>
            <w:r>
              <w:t xml:space="preserve">11.2</w:t>
            </w:r>
          </w:p>
        </w:tc>
      </w:tr>
      <w:tr>
        <w:tc>
          <w:tcPr/>
          <w:p>
            <w:pPr>
              <w:pStyle w:val="Compact"/>
            </w:pPr>
            <w:r>
              <w:t xml:space="preserve">11.3</w:t>
            </w:r>
          </w:p>
        </w:tc>
      </w:tr>
      <w:tr>
        <w:tc>
          <w:tcPr/>
          <w:p>
            <w:pPr>
              <w:pStyle w:val="Compact"/>
            </w:pPr>
            <w:r>
              <w:t xml:space="preserve">TEN 11.4</w:t>
            </w:r>
          </w:p>
        </w:tc>
      </w:tr>
      <w:tr>
        <w:tc>
          <w:tcPr/>
          <w:p>
            <w:pPr>
              <w:pStyle w:val="Compac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
          <w:iCs/>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
          <w:bCs/>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3"/>
    <w:bookmarkStart w:id="24" w:name="X70229194786b2abc2dfe755a6454a63b37ad7a9"/>
    <w:p>
      <w:pPr>
        <w:pStyle w:val="Heading1"/>
      </w:pPr>
      <w:r>
        <w:t xml:space="preserve">18. Control 13 — Network Monitoring and Defense</w:t>
      </w:r>
    </w:p>
    <w:p>
      <w:pPr>
        <w:pStyle w:val="FirstParagraph"/>
      </w:pPr>
      <w:r>
        <w:rPr>
          <w:i/>
          <w:iCs/>
        </w:rPr>
        <w:t xml:space="preserve">Todas las 11 Salvaguardias, significado claro, enfoque de verificación y evidencia de ejemplo</w:t>
      </w:r>
      <w:r>
        <w:t xml:space="preserve">.</w:t>
      </w:r>
    </w:p>
    <w:p>
      <w:pPr>
        <w:pStyle w:val="BodyText"/>
      </w:pPr>
      <w:r>
        <w:t xml:space="preserve">■img src=</w:t>
      </w:r>
      <w:r>
        <w:t xml:space="preserve">“media/image8.png”</w:t>
      </w:r>
      <w:r>
        <w:t xml:space="preserve"> </w:t>
      </w:r>
      <w:r>
        <w:t xml:space="preserve">estilo=</w:t>
      </w:r>
      <w:r>
        <w:t xml:space="preserve">“width:6.15in;height:3.20094in”</w:t>
      </w:r>
      <w:r>
        <w:t xml:space="preserve"> </w:t>
      </w:r>
      <w:r>
        <w:t xml:space="preserve">alt=</w:t>
      </w:r>
      <w:r>
        <w:t xml:space="preserve">“Contexto centralizado, detección sintonizada, investigación humana y respuesta crean defensa útil”</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13.1</w:t>
            </w:r>
          </w:p>
        </w:tc>
      </w:tr>
      <w:tr>
        <w:tc>
          <w:tcPr/>
          <w:p>
            <w:pPr>
              <w:pStyle w:val="Compact"/>
            </w:pPr>
            <w:r>
              <w:t xml:space="preserve">13.2</w:t>
            </w:r>
          </w:p>
        </w:tc>
      </w:tr>
      <w:tr>
        <w:tc>
          <w:tcPr/>
          <w:p>
            <w:pPr>
              <w:pStyle w:val="Compact"/>
            </w:pPr>
            <w:r>
              <w:t xml:space="preserve">13.3</w:t>
            </w:r>
          </w:p>
        </w:tc>
      </w:tr>
      <w:tr>
        <w:tc>
          <w:tcPr/>
          <w:p>
            <w:pPr>
              <w:pStyle w:val="Compact"/>
            </w:pPr>
            <w:r>
              <w:t xml:space="preserve">13.4</w:t>
            </w:r>
          </w:p>
        </w:tc>
      </w:tr>
      <w:tr>
        <w:tc>
          <w:tcPr/>
          <w:p>
            <w:pPr>
              <w:pStyle w:val="Compact"/>
            </w:pPr>
            <w:r>
              <w:t xml:space="preserve">13.5</w:t>
            </w:r>
          </w:p>
        </w:tc>
      </w:tr>
      <w:tr>
        <w:tc>
          <w:tcPr/>
          <w:p>
            <w:pPr>
              <w:pStyle w:val="Compac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pPr>
            <w:r>
              <w:t xml:space="preserve">13.7</w:t>
            </w:r>
          </w:p>
        </w:tc>
      </w:tr>
      <w:tr>
        <w:tc>
          <w:tcPr/>
          <w:p>
            <w:pPr>
              <w:pStyle w:val="Compact"/>
            </w:pPr>
            <w:r>
              <w:t xml:space="preserve">13.8</w:t>
            </w:r>
          </w:p>
        </w:tc>
      </w:tr>
      <w:tr>
        <w:tc>
          <w:tcPr/>
          <w:p>
            <w:pPr>
              <w:pStyle w:val="Compac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pPr>
            <w:r>
              <w:t xml:space="preserve">13.10</w:t>
            </w:r>
          </w:p>
        </w:tc>
      </w:tr>
      <w:tr>
        <w:tc>
          <w:tcPr/>
          <w:p>
            <w:pPr>
              <w:pStyle w:val="Compac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4"/>
    <w:bookmarkStart w:id="25" w:name="X42b99efe6a3de02b879e5b97e2145eff592e532"/>
    <w:p>
      <w:pPr>
        <w:pStyle w:val="Heading1"/>
      </w:pPr>
      <w:r>
        <w:t xml:space="preserve">19. Control 14 - Capacitación en conciencia de seguridad y habilidades</w:t>
      </w:r>
    </w:p>
    <w:p>
      <w:pPr>
        <w:pStyle w:val="FirstParagraph"/>
      </w:pPr>
      <w:r>
        <w:rPr>
          <w:i/>
          <w:iCs/>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14.1</w:t>
            </w:r>
          </w:p>
        </w:tc>
      </w:tr>
      <w:tr>
        <w:tc>
          <w:tcPr/>
          <w:p>
            <w:pPr>
              <w:pStyle w:val="Compact"/>
            </w:pPr>
            <w:r>
              <w:t xml:space="preserve">14.2</w:t>
            </w:r>
          </w:p>
        </w:tc>
      </w:tr>
      <w:tr>
        <w:tc>
          <w:tcPr/>
          <w:p>
            <w:pPr>
              <w:pStyle w:val="Compact"/>
            </w:pPr>
            <w:r>
              <w:t xml:space="preserve">TEN 14.3</w:t>
            </w:r>
          </w:p>
        </w:tc>
      </w:tr>
      <w:tr>
        <w:tc>
          <w:tcPr/>
          <w:p>
            <w:pPr>
              <w:pStyle w:val="Compact"/>
            </w:pPr>
            <w:r>
              <w:t xml:space="preserve">14.4</w:t>
            </w:r>
          </w:p>
        </w:tc>
      </w:tr>
      <w:tr>
        <w:tc>
          <w:tcPr/>
          <w:p>
            <w:pPr>
              <w:pStyle w:val="Compact"/>
            </w:pPr>
            <w:r>
              <w:t xml:space="preserve">14.5</w:t>
            </w:r>
          </w:p>
        </w:tc>
      </w:tr>
      <w:tr>
        <w:tc>
          <w:tcPr/>
          <w:p>
            <w:pPr>
              <w:pStyle w:val="Compact"/>
            </w:pPr>
            <w:r>
              <w:t xml:space="preserve">14.6</w:t>
            </w:r>
          </w:p>
        </w:tc>
      </w:tr>
      <w:tr>
        <w:tc>
          <w:tcPr/>
          <w:p>
            <w:pPr>
              <w:pStyle w:val="Compact"/>
            </w:pPr>
            <w:r>
              <w:t xml:space="preserve">14.7</w:t>
            </w:r>
          </w:p>
        </w:tc>
      </w:tr>
      <w:tr>
        <w:tc>
          <w:tcPr/>
          <w:p>
            <w:pPr>
              <w:pStyle w:val="Compact"/>
            </w:pPr>
            <w:r>
              <w:t xml:space="preserve">TEN 14.8</w:t>
            </w:r>
          </w:p>
        </w:tc>
      </w:tr>
      <w:tr>
        <w:tc>
          <w:tcPr/>
          <w:p>
            <w:pPr>
              <w:pStyle w:val="Compac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5"/>
    <w:bookmarkStart w:id="26" w:name="control-15-service-provider-management"/>
    <w:p>
      <w:pPr>
        <w:pStyle w:val="Heading1"/>
      </w:pPr>
      <w:r>
        <w:t xml:space="preserve">20. Control 15 — Service Provider Management</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15.1</w:t>
            </w:r>
          </w:p>
        </w:tc>
      </w:tr>
      <w:tr>
        <w:tc>
          <w:tcPr/>
          <w:p>
            <w:pPr>
              <w:pStyle w:val="Compact"/>
            </w:pPr>
            <w:r>
              <w:t xml:space="preserve">15.2</w:t>
            </w:r>
          </w:p>
        </w:tc>
      </w:tr>
      <w:tr>
        <w:tc>
          <w:tcPr/>
          <w:p>
            <w:pPr>
              <w:pStyle w:val="Compac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pPr>
            <w:r>
              <w:t xml:space="preserve">15.4</w:t>
            </w:r>
          </w:p>
        </w:tc>
      </w:tr>
      <w:tr>
        <w:tc>
          <w:tcPr/>
          <w:p>
            <w:pPr>
              <w:pStyle w:val="Compact"/>
            </w:pPr>
            <w:r>
              <w:t xml:space="preserve">15.5 Silenciosos Proveedores de Servicios</w:t>
            </w:r>
          </w:p>
        </w:tc>
      </w:tr>
      <w:tr>
        <w:tc>
          <w:tcPr/>
          <w:p>
            <w:pPr>
              <w:pStyle w:val="Compac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
          <w:iCs/>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16.1</w:t>
            </w:r>
          </w:p>
        </w:tc>
      </w:tr>
      <w:tr>
        <w:tc>
          <w:tcPr/>
          <w:p>
            <w:pPr>
              <w:pStyle w:val="Compact"/>
            </w:pPr>
            <w:r>
              <w:t xml:space="preserve">16.2</w:t>
            </w:r>
          </w:p>
        </w:tc>
      </w:tr>
      <w:tr>
        <w:tc>
          <w:tcPr/>
          <w:p>
            <w:pPr>
              <w:pStyle w:val="Compact"/>
            </w:pPr>
            <w:r>
              <w:t xml:space="preserve">16.3</w:t>
            </w:r>
          </w:p>
        </w:tc>
      </w:tr>
      <w:tr>
        <w:tc>
          <w:tcPr/>
          <w:p>
            <w:pPr>
              <w:pStyle w:val="Compact"/>
            </w:pPr>
            <w:r>
              <w:t xml:space="preserve">16.4</w:t>
            </w:r>
          </w:p>
        </w:tc>
      </w:tr>
      <w:tr>
        <w:tc>
          <w:tcPr/>
          <w:p>
            <w:pPr>
              <w:pStyle w:val="Compac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pPr>
            <w:r>
              <w:t xml:space="preserve">16.6</w:t>
            </w:r>
          </w:p>
        </w:tc>
      </w:tr>
      <w:tr>
        <w:tc>
          <w:tcPr/>
          <w:p>
            <w:pPr>
              <w:pStyle w:val="Compact"/>
            </w:pPr>
            <w:r>
              <w:t xml:space="preserve">TEN 16.7</w:t>
            </w:r>
          </w:p>
        </w:tc>
      </w:tr>
      <w:tr>
        <w:tc>
          <w:tcPr/>
          <w:p>
            <w:pPr>
              <w:pStyle w:val="Compact"/>
            </w:pPr>
            <w:r>
              <w:t xml:space="preserve">16.8</w:t>
            </w:r>
          </w:p>
        </w:tc>
      </w:tr>
      <w:tr>
        <w:tc>
          <w:tcPr/>
          <w:p>
            <w:pPr>
              <w:pStyle w:val="Compact"/>
            </w:pPr>
            <w:r>
              <w:t xml:space="preserve">16.9</w:t>
            </w:r>
          </w:p>
        </w:tc>
      </w:tr>
      <w:tr>
        <w:tc>
          <w:tcPr/>
          <w:p>
            <w:pPr>
              <w:pStyle w:val="Compact"/>
            </w:pPr>
            <w:r>
              <w:t xml:space="preserve">16.10</w:t>
            </w:r>
          </w:p>
        </w:tc>
      </w:tr>
      <w:tr>
        <w:tc>
          <w:tcPr/>
          <w:p>
            <w:pPr>
              <w:pStyle w:val="Compact"/>
            </w:pPr>
            <w:r>
              <w:t xml:space="preserve">TEN 16.11</w:t>
            </w:r>
          </w:p>
        </w:tc>
      </w:tr>
      <w:tr>
        <w:tc>
          <w:tcPr/>
          <w:p>
            <w:pPr>
              <w:pStyle w:val="Compact"/>
            </w:pPr>
            <w:r>
              <w:t xml:space="preserve">16.12</w:t>
            </w:r>
          </w:p>
        </w:tc>
      </w:tr>
      <w:tr>
        <w:tc>
          <w:tcPr/>
          <w:p>
            <w:pPr>
              <w:pStyle w:val="Compact"/>
            </w:pPr>
            <w:r>
              <w:t xml:space="preserve">16.13</w:t>
            </w:r>
          </w:p>
        </w:tc>
      </w:tr>
      <w:tr>
        <w:tc>
          <w:tcPr/>
          <w:p>
            <w:pPr>
              <w:pStyle w:val="Compac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
          <w:iCs/>
        </w:rPr>
        <w:t xml:space="preserve">Las 9 Salvaguardias, significado claro, enfoque de verificación y evidencia de ejemplo</w:t>
      </w:r>
      <w:r>
        <w:t xml:space="preserve">.</w:t>
      </w:r>
    </w:p>
    <w:p>
      <w:pPr>
        <w:pStyle w:val="BodyText"/>
      </w:pPr>
      <w:r>
        <w:t xml:space="preserve">■img src=</w:t>
      </w:r>
      <w:r>
        <w:t xml:space="preserve">“media/image9.png”</w:t>
      </w:r>
      <w:r>
        <w:t xml:space="preserve"> </w:t>
      </w:r>
      <w:r>
        <w:t xml:space="preserve">estilo=</w:t>
      </w:r>
      <w:r>
        <w:t xml:space="preserve">“width:6.15in;height:3.12625in”</w:t>
      </w:r>
      <w:r>
        <w:t xml:space="preserve"> </w:t>
      </w:r>
      <w:r>
        <w:t xml:space="preserve">alt=</w:t>
      </w:r>
      <w:r>
        <w:t xml:space="preserve">“Los roles preparados, reportando, comunicación, ejercicios y reseñas reducen el impacto del incidente.”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17.1</w:t>
            </w:r>
          </w:p>
        </w:tc>
      </w:tr>
      <w:tr>
        <w:tc>
          <w:tcPr/>
          <w:p>
            <w:pPr>
              <w:pStyle w:val="Compact"/>
            </w:pPr>
            <w:r>
              <w:t xml:space="preserve">17.2</w:t>
            </w:r>
          </w:p>
        </w:tc>
      </w:tr>
      <w:tr>
        <w:tc>
          <w:tcPr/>
          <w:p>
            <w:pPr>
              <w:pStyle w:val="Compact"/>
            </w:pPr>
            <w:r>
              <w:t xml:space="preserve">17.3</w:t>
            </w:r>
          </w:p>
        </w:tc>
      </w:tr>
      <w:tr>
        <w:tc>
          <w:tcPr/>
          <w:p>
            <w:pPr>
              <w:pStyle w:val="Compact"/>
            </w:pPr>
            <w:r>
              <w:t xml:space="preserve">TEN 17.4</w:t>
            </w:r>
          </w:p>
        </w:tc>
      </w:tr>
      <w:tr>
        <w:tc>
          <w:tcPr/>
          <w:p>
            <w:pPr>
              <w:pStyle w:val="Compac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6"/>
    <w:bookmarkStart w:id="52" w:name="control-18-penetration-testing"/>
    <w:p>
      <w:pPr>
        <w:pStyle w:val="Heading1"/>
      </w:pPr>
      <w:r>
        <w:t xml:space="preserve">23. Control 18 — Penetration Testing</w:t>
      </w:r>
    </w:p>
    <w:p>
      <w:pPr>
        <w:pStyle w:val="FirstParagraph"/>
      </w:pPr>
      <w:r>
        <w:rPr>
          <w:i/>
          <w:iCs/>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18.1</w:t>
            </w:r>
          </w:p>
        </w:tc>
      </w:tr>
      <w:tr>
        <w:tc>
          <w:tcPr/>
          <w:p>
            <w:pPr>
              <w:pStyle w:val="Compact"/>
            </w:pPr>
            <w:r>
              <w:t xml:space="preserve">18.2</w:t>
            </w:r>
          </w:p>
        </w:tc>
      </w:tr>
      <w:tr>
        <w:tc>
          <w:tcPr/>
          <w:p>
            <w:pPr>
              <w:pStyle w:val="Compac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Compact"/>
        <w:numPr>
          <w:ilvl w:val="0"/>
          <w:numId w:val="1010"/>
        </w:numPr>
      </w:pPr>
      <w:r>
        <w:t xml:space="preserve">Herramientas de código abierto</w:t>
      </w:r>
    </w:p>
    <w:p>
      <w:pPr>
        <w:pStyle w:val="Compact"/>
        <w:numPr>
          <w:ilvl w:val="0"/>
          <w:numId w:val="1011"/>
        </w:numPr>
      </w:pPr>
      <w:r>
        <w:t xml:space="preserve">Enlaces oficiales, inicios rápidos seguros, pruebas y limitaciones.*</w:t>
      </w:r>
    </w:p>
    <w:p>
      <w:pPr>
        <w:pStyle w:val="FirstParagraph"/>
      </w:pPr>
      <w:r>
        <w:rPr>
          <w:b/>
          <w:bCs/>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pStyle w:val="Compact"/>
        <w:numPr>
          <w:ilvl w:val="0"/>
          <w:numId w:val="1012"/>
        </w:numPr>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27"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27"/>
    <w:bookmarkStart w:id="29"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28">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29"/>
    <w:bookmarkStart w:id="30"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30"/>
    <w:bookmarkStart w:id="32"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31">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32"/>
    <w:bookmarkStart w:id="34" w:name="wazuh"/>
    <w:p>
      <w:pPr>
        <w:pStyle w:val="Heading2"/>
      </w:pPr>
      <w:r>
        <w:t xml:space="preserve">24.5 Wazuh</w:t>
      </w:r>
    </w:p>
    <w:p>
      <w:pPr>
        <w:pStyle w:val="FirstParagraph"/>
      </w:pPr>
      <w:r>
        <w:t xml:space="preserve">Propósito: Monitoreo de punto final, SIEM, FIM y alertas. Proyecto oficial:</w:t>
      </w:r>
      <w:r>
        <w:t xml:space="preserve"> </w:t>
      </w:r>
      <w:hyperlink r:id="rId33">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34"/>
    <w:bookmarkStart w:id="35"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35"/>
    <w:bookmarkStart w:id="37"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36">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37"/>
    <w:bookmarkStart w:id="39" w:name="lynis"/>
    <w:p>
      <w:pPr>
        <w:pStyle w:val="Heading2"/>
      </w:pPr>
      <w:r>
        <w:t xml:space="preserve">24.8 Lynis</w:t>
      </w:r>
    </w:p>
    <w:p>
      <w:pPr>
        <w:pStyle w:val="FirstParagraph"/>
      </w:pPr>
      <w:r>
        <w:t xml:space="preserve">Propósito: Auditoría de seguridad de Linux. Proyecto oficial:</w:t>
      </w:r>
      <w:r>
        <w:t xml:space="preserve"> </w:t>
      </w:r>
      <w:hyperlink r:id="rId38">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39"/>
    <w:bookmarkStart w:id="41" w:name="nmap"/>
    <w:p>
      <w:pPr>
        <w:pStyle w:val="Heading2"/>
      </w:pPr>
      <w:r>
        <w:t xml:space="preserve">24.9 Nmap</w:t>
      </w:r>
    </w:p>
    <w:p>
      <w:pPr>
        <w:pStyle w:val="FirstParagraph"/>
      </w:pPr>
      <w:r>
        <w:t xml:space="preserve">Propósito: Activo autorizado y descubrimiento de servicios. Proyecto oficial:</w:t>
      </w:r>
      <w:r>
        <w:t xml:space="preserve"> </w:t>
      </w:r>
      <w:hyperlink r:id="rId40">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2"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2"/>
    <w:bookmarkStart w:id="43"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5"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7" w:name="keycloak"/>
    <w:p>
      <w:pPr>
        <w:pStyle w:val="Heading2"/>
      </w:pPr>
      <w:r>
        <w:t xml:space="preserve">24.14 Keycloak</w:t>
      </w:r>
    </w:p>
    <w:p>
      <w:pPr>
        <w:pStyle w:val="FirstParagraph"/>
      </w:pPr>
      <w:r>
        <w:t xml:space="preserve">Propósito: Identidad, roles, MFA, sesiones y eventos. Proyecto oficial:</w:t>
      </w:r>
      <w:r>
        <w:t xml:space="preserve"> </w:t>
      </w:r>
      <w:hyperlink r:id="rId46">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47"/>
    <w:bookmarkStart w:id="49"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48">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velociraptor"/>
    <w:p>
      <w:pPr>
        <w:pStyle w:val="Heading2"/>
      </w:pPr>
      <w:r>
        <w:t xml:space="preserve">24.16 Velociraptor</w:t>
      </w:r>
    </w:p>
    <w:p>
      <w:pPr>
        <w:pStyle w:val="FirstParagraph"/>
      </w:pPr>
      <w:r>
        <w:t xml:space="preserve">Finalidad: visibilidad y respuesta a incidentes. Proyecto oficial:</w:t>
      </w:r>
      <w:r>
        <w:t xml:space="preserve"> </w:t>
      </w:r>
      <w:hyperlink r:id="rId50">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End w:id="52"/>
    <w:bookmarkStart w:id="53" w:name="manual-de-controles-cis-de-manager"/>
    <w:p>
      <w:pPr>
        <w:pStyle w:val="Heading1"/>
      </w:pPr>
      <w:r>
        <w:t xml:space="preserve">25. Manual de Controles CIS de Manager</w:t>
      </w:r>
    </w:p>
    <w:p>
      <w:pPr>
        <w:pStyle w:val="FirstParagraph"/>
      </w:pPr>
      <w:r>
        <w:rPr>
          <w:i/>
          <w:iCs/>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Area</w:t>
            </w:r>
          </w:p>
        </w:tc>
      </w:tr>
      <w:tr>
        <w:tc>
          <w:tcPr/>
          <w:p>
            <w:pPr>
              <w:pStyle w:val="Compact"/>
            </w:pPr>
            <w:r>
              <w:t xml:space="preserve">IG y alcance</w:t>
            </w:r>
          </w:p>
        </w:tc>
      </w:tr>
      <w:tr>
        <w:tc>
          <w:tcPr/>
          <w:p>
            <w:pPr>
              <w:pStyle w:val="Compac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53"/>
    <w:bookmarkStart w:id="55" w:name="junior-analyst-career-guide"/>
    <w:p>
      <w:pPr>
        <w:pStyle w:val="Heading1"/>
      </w:pPr>
      <w:r>
        <w:t xml:space="preserve">26. Junior Analyst Career Guide</w:t>
      </w:r>
    </w:p>
    <w:p>
      <w:pPr>
        <w:pStyle w:val="FirstParagraph"/>
      </w:pPr>
      <w:r>
        <w:rPr>
          <w:i/>
          <w:iCs/>
        </w:rPr>
        <w:t xml:space="preserve">Una ruta práctica en controles, vulnerabilidad, seguridad, GRC y operaciones de seguridad funcionan.</w:t>
      </w:r>
    </w:p>
    <w:p>
      <w:pPr>
        <w:pStyle w:val="BodyText"/>
      </w:pPr>
      <w:r>
        <w:t xml:space="preserve">■img src=</w:t>
      </w:r>
      <w:r>
        <w:t xml:space="preserve">“media/image10.png”</w:t>
      </w:r>
      <w:r>
        <w:t xml:space="preserve"> </w:t>
      </w:r>
      <w:r>
        <w:t xml:space="preserve">style=</w:t>
      </w:r>
      <w:r>
        <w:t xml:space="preserve">“width:6.15in;height:2.99481in”</w:t>
      </w:r>
      <w:r>
        <w:t xml:space="preserve"> </w:t>
      </w:r>
      <w:r>
        <w:t xml:space="preserve">alt=</w:t>
      </w:r>
      <w:r>
        <w:t xml:space="preserve">“Aprende el marco, mapa Salvaguardias, mide evidencia, reporte lagunas, y construya un portafolio honesto”</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54"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54"/>
    <w:bookmarkEnd w:id="55"/>
    <w:bookmarkStart w:id="65" w:name="laboratorio-ficcional-y-portfolio"/>
    <w:p>
      <w:pPr>
        <w:pStyle w:val="Heading1"/>
      </w:pPr>
      <w:r>
        <w:t xml:space="preserve">27. Laboratorio Ficcional y Portfolio</w:t>
      </w:r>
    </w:p>
    <w:p>
      <w:pPr>
        <w:pStyle w:val="FirstParagraph"/>
      </w:pPr>
      <w:r>
        <w:rPr>
          <w:i/>
          <w:iCs/>
        </w:rPr>
        <w:t xml:space="preserve">Un entorno de prácticas seguras utilizando datos sintéticos y sistemas de laboratorio autorizados</w:t>
      </w:r>
      <w:r>
        <w:t xml:space="preserve">.</w:t>
      </w:r>
    </w:p>
    <w:p>
      <w:pPr>
        <w:pStyle w:val="Compact"/>
        <w:numPr>
          <w:ilvl w:val="0"/>
          <w:numId w:val="1015"/>
        </w:numPr>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
          <w:bCs/>
        </w:rPr>
        <w:t xml:space="preserve">Artifact</w:t>
      </w:r>
      <w:r>
        <w:t xml:space="preserve"> </w:t>
      </w:r>
      <w:r>
        <w:t xml:space="preserve">|</w:t>
      </w:r>
      <w:r>
        <w:t xml:space="preserve"> </w:t>
      </w:r>
      <w:r>
        <w:rPr>
          <w:b/>
          <w:bCs/>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pStyle w:val="Compact"/>
        <w:numPr>
          <w:ilvl w:val="0"/>
          <w:numId w:val="1017"/>
        </w:numPr>
      </w:pPr>
      <w:r>
        <w:t xml:space="preserve">Plan de aprendizaje de 30 días</w:t>
      </w:r>
    </w:p>
    <w:p>
      <w:pPr>
        <w:pStyle w:val="FirstParagraph"/>
      </w:pPr>
      <w:r>
        <w:rPr>
          <w:i/>
          <w:iCs/>
        </w:rPr>
        <w:t xml:space="preserve">Un calendario centrado para la capacidad útil de nivel inferior</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1–4</w:t>
            </w:r>
          </w:p>
        </w:tc>
      </w:tr>
      <w:tr>
        <w:tc>
          <w:tcPr/>
          <w:p>
            <w:pPr>
              <w:pStyle w:val="Compact"/>
            </w:pPr>
            <w:r>
              <w:t xml:space="preserve">tención 5–8 Silencioso Activos, software, datos, cuentas, acceso</w:t>
            </w:r>
          </w:p>
        </w:tc>
      </w:tr>
      <w:tr>
        <w:tc>
          <w:tcPr/>
          <w:p>
            <w:pPr>
              <w:pStyle w:val="Compact"/>
            </w:pPr>
            <w:r>
              <w:t xml:space="preserve">TEN 9–12</w:t>
            </w:r>
          </w:p>
        </w:tc>
      </w:tr>
      <w:tr>
        <w:tc>
          <w:tcPr/>
          <w:p>
            <w:pPr>
              <w:pStyle w:val="Compact"/>
            </w:pPr>
            <w:r>
              <w:t xml:space="preserve">13–16 Silenciosos Logs, monitoreo, defensa de la red</w:t>
            </w:r>
          </w:p>
        </w:tc>
      </w:tr>
      <w:tr>
        <w:tc>
          <w:tcPr/>
          <w:p>
            <w:pPr>
              <w:pStyle w:val="Compact"/>
            </w:pPr>
            <w:r>
              <w:t xml:space="preserve">17–19 Silencioso recuperación y respuesta a incidentes</w:t>
            </w:r>
          </w:p>
        </w:tc>
      </w:tr>
      <w:tr>
        <w:tc>
          <w:tcPr/>
          <w:p>
            <w:pPr>
              <w:pStyle w:val="Compact"/>
            </w:pPr>
            <w:r>
              <w:t xml:space="preserve">20–22</w:t>
            </w:r>
          </w:p>
        </w:tc>
      </w:tr>
      <w:tr>
        <w:tc>
          <w:tcPr/>
          <w:p>
            <w:pPr>
              <w:pStyle w:val="Compact"/>
            </w:pPr>
            <w:r>
              <w:t xml:space="preserve">Silencioso 23–25 Evaluación de la vida Especificación</w:t>
            </w:r>
          </w:p>
        </w:tc>
      </w:tr>
      <w:tr>
        <w:tc>
          <w:tcPr/>
          <w:p>
            <w:pPr>
              <w:pStyle w:val="Compact"/>
            </w:pPr>
            <w:r>
              <w:t xml:space="preserve">26–28</w:t>
            </w:r>
          </w:p>
        </w:tc>
      </w:tr>
      <w:tr>
        <w:tc>
          <w:tcPr/>
          <w:p>
            <w:pPr>
              <w:pStyle w:val="Compact"/>
            </w:pPr>
            <w:r>
              <w:t xml:space="preserve">TEN 29–30</w:t>
            </w:r>
          </w:p>
        </w:tc>
      </w:tr>
    </w:tbl>
    <w:p>
      <w:pPr>
        <w:pStyle w:val="Compact"/>
        <w:numPr>
          <w:ilvl w:val="0"/>
          <w:numId w:val="1018"/>
        </w:numPr>
      </w:pPr>
      <w:r>
        <w:t xml:space="preserve">Preparación de entrevistas</w:t>
      </w:r>
    </w:p>
    <w:p>
      <w:pPr>
        <w:pStyle w:val="Compact"/>
        <w:numPr>
          <w:ilvl w:val="0"/>
          <w:numId w:val="1019"/>
        </w:numPr>
      </w:pPr>
      <w:r>
        <w:t xml:space="preserve">Respuestas claras, escenarios prácticos y preguntas para el empleador.*</w:t>
      </w:r>
    </w:p>
    <w:bookmarkStart w:id="5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56"/>
    <w:bookmarkStart w:id="5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7"/>
    <w:bookmarkStart w:id="5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8"/>
    <w:bookmarkStart w:id="5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9"/>
    <w:bookmarkStart w:id="6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60"/>
    <w:bookmarkStart w:id="6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1"/>
    <w:bookmarkStart w:id="6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2"/>
    <w:bookmarkStart w:id="6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3"/>
    <w:bookmarkStart w:id="6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4"/>
    <w:bookmarkEnd w:id="65"/>
    <w:bookmarkStart w:id="74" w:name="plantillas-glosario-índice-y-referencias"/>
    <w:p>
      <w:pPr>
        <w:pStyle w:val="Heading1"/>
      </w:pPr>
      <w:r>
        <w:t xml:space="preserve">30. Plantillas, Glosario, Índice y Referencias</w:t>
      </w:r>
    </w:p>
    <w:p>
      <w:pPr>
        <w:pStyle w:val="Compact"/>
        <w:numPr>
          <w:ilvl w:val="0"/>
          <w:numId w:val="1020"/>
        </w:numPr>
      </w:pPr>
      <w:r>
        <w:t xml:space="preserve">Estructuras de trabajo reutilizables, términos importantes y puntos de partida autorizados.*</w:t>
      </w:r>
    </w:p>
    <w:bookmarkStart w:id="6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“La Salvaguardia de la Vida”</w:t>
      </w:r>
      <w:r>
        <w:t xml:space="preserve"> </w:t>
      </w:r>
      <w:r>
        <w:t xml:space="preserve">y la IG</w:t>
      </w:r>
      <w:r>
        <w:t xml:space="preserve"> </w:t>
      </w:r>
      <w:r>
        <w:t xml:space="preserve">“Antes”</w:t>
      </w:r>
      <w:r>
        <w:t xml:space="preserve"> </w:t>
      </w:r>
      <w:r>
        <w:t xml:space="preserve">“Escopia y clase de activos”</w:t>
      </w:r>
      <w:r>
        <w:t xml:space="preserve"> </w:t>
      </w:r>
      <w:r>
        <w:t xml:space="preserve">“Principal y sistemas de vida”</w:t>
      </w:r>
      <w:r>
        <w:t xml:space="preserve"> </w:t>
      </w:r>
      <w:r>
        <w:t xml:space="preserve">Las dependencias y las suposiciones de la vida</w:t>
      </w:r>
      <w:r>
        <w:t xml:space="preserve"> </w:t>
      </w:r>
      <w:r>
        <w:t xml:space="preserve">Inputs y validación de la vida</w:t>
      </w:r>
      <w:r>
        <w:t xml:space="preserve"> </w:t>
      </w:r>
      <w:r>
        <w:t xml:space="preserve">“Operaciones en la vida”</w:t>
      </w:r>
      <w:r>
        <w:t xml:space="preserve"> </w:t>
      </w:r>
      <w:r>
        <w:t xml:space="preserve">“Las medidas de la vida”</w:t>
      </w:r>
      <w:r>
        <w:t xml:space="preserve"> </w:t>
      </w:r>
      <w:r>
        <w:t xml:space="preserve">“Metric and interpretation |”</w:t>
      </w:r>
      <w:r>
        <w:t xml:space="preserve"> </w:t>
      </w:r>
      <w:r>
        <w:t xml:space="preserve">Excepciones y limitaciones de la vida</w:t>
      </w:r>
      <w:r>
        <w:t xml:space="preserve"> </w:t>
      </w:r>
      <w:r>
        <w:t xml:space="preserve">La acción, el dueño, la fecha y la prueba de la vida</w:t>
      </w:r>
    </w:p>
    <w:bookmarkEnd w:id="66"/>
    <w:bookmarkStart w:id="67" w:name="finding-and-retest-record"/>
    <w:p>
      <w:pPr>
        <w:pStyle w:val="Heading2"/>
      </w:pPr>
      <w:r>
        <w:t xml:space="preserve">30.2 Finding and retest record</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“Acondicionamiento y evidencia de vida”</w:t>
      </w:r>
      <w:r>
        <w:t xml:space="preserve"> </w:t>
      </w:r>
      <w:r>
        <w:t xml:space="preserve">La población afectada está en peligro.</w:t>
      </w:r>
      <w:r>
        <w:t xml:space="preserve"> </w:t>
      </w:r>
      <w:r>
        <w:t xml:space="preserve">“El riesgo y el impacto en la vida”</w:t>
      </w:r>
      <w:r>
        <w:t xml:space="preserve"> </w:t>
      </w:r>
      <w:r>
        <w:t xml:space="preserve">| Cause TENED                        |</w:t>
      </w:r>
      <w:r>
        <w:t xml:space="preserve"> </w:t>
      </w:r>
      <w:r>
        <w:t xml:space="preserve">“La protección provisional en la vida”</w:t>
      </w:r>
      <w:r>
        <w:t xml:space="preserve"> </w:t>
      </w:r>
      <w:r>
        <w:t xml:space="preserve">Corrección y propietario de la vida</w:t>
      </w:r>
      <w:r>
        <w:t xml:space="preserve"> </w:t>
      </w:r>
      <w:r>
        <w:t xml:space="preserve">La fecha de su muerte es la siguiente.</w:t>
      </w:r>
      <w:r>
        <w:t xml:space="preserve"> </w:t>
      </w:r>
      <w:r>
        <w:t xml:space="preserve">“El procedimiento de la prueba de mentiras”</w:t>
      </w:r>
      <w:r>
        <w:t xml:space="preserve"> </w:t>
      </w:r>
      <w:r>
        <w:t xml:space="preserve">Resultado final de la vida útil</w:t>
      </w:r>
    </w:p>
    <w:bookmarkEnd w:id="67"/>
    <w:bookmarkStart w:id="6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8"/>
    <w:bookmarkStart w:id="6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9"/>
    <w:bookmarkStart w:id="73"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70">
        <w:r>
          <w:rPr>
            <w:rStyle w:val="Hyperlink"/>
          </w:rPr>
          <w:t xml:space="preserve">Nota de Controles CIS</w:t>
        </w:r>
      </w:hyperlink>
    </w:p>
    <w:p>
      <w:pPr>
        <w:pStyle w:val="BodyText"/>
      </w:pPr>
      <w:r>
        <w:t xml:space="preserve">[ ]](https://www.cisecurity.org/controls/implementation-groups)</w:t>
      </w:r>
    </w:p>
    <w:p>
      <w:pPr>
        <w:pStyle w:val="BodyText"/>
      </w:pPr>
      <w:hyperlink r:id="rId71">
        <w:r>
          <w:rPr>
            <w:rStyle w:val="Hyperlink"/>
          </w:rPr>
          <w:t xml:space="preserve">Seguido</w:t>
        </w:r>
      </w:hyperlink>
    </w:p>
    <w:p>
      <w:pPr>
        <w:pStyle w:val="BodyText"/>
      </w:pPr>
      <w:hyperlink r:id="rId28">
        <w:r>
          <w:rPr>
            <w:rStyle w:val="Hyperlink"/>
          </w:rPr>
          <w:t xml:space="preserve">Seguido</w:t>
        </w:r>
      </w:hyperlink>
    </w:p>
    <w:p>
      <w:pPr>
        <w:pStyle w:val="BodyText"/>
      </w:pPr>
      <w:hyperlink r:id="rId72">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
          <w:bCs/>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cas.docs.cisecurity.org/en/latest/" TargetMode="External" /><Relationship Type="http://schemas.openxmlformats.org/officeDocument/2006/relationships/hyperlink" Id="rId38" Target="https://cisofy.com/lynis/" TargetMode="External" /><Relationship Type="http://schemas.openxmlformats.org/officeDocument/2006/relationships/hyperlink" Id="rId50" Target="https://docs.velociraptor.app/" TargetMode="External" /><Relationship Type="http://schemas.openxmlformats.org/officeDocument/2006/relationships/hyperlink" Id="rId31" Target="https://intuitem.github.io/ciso-assistant-community/" TargetMode="External" /><Relationship Type="http://schemas.openxmlformats.org/officeDocument/2006/relationships/hyperlink" Id="rId40" Target="https://nmap.org/" TargetMode="External" /><Relationship Type="http://schemas.openxmlformats.org/officeDocument/2006/relationships/hyperlink" Id="rId33" Target="https://wazuh.com/" TargetMode="External" /><Relationship Type="http://schemas.openxmlformats.org/officeDocument/2006/relationships/hyperlink" Id="rId71"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2" Target="https://www.cisecurity.org/controls/cis-controls-navigator" TargetMode="External" /><Relationship Type="http://schemas.openxmlformats.org/officeDocument/2006/relationships/hyperlink" Id="rId48" Target="https://www.defectdojo.org/" TargetMode="External" /><Relationship Type="http://schemas.openxmlformats.org/officeDocument/2006/relationships/hyperlink" Id="rId46" Target="https://www.keycloak.org/" TargetMode="External" /><Relationship Type="http://schemas.openxmlformats.org/officeDocument/2006/relationships/hyperlink" Id="rId36"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28" Target="https://cas.docs.cisecurity.org/en/latest/" TargetMode="External" /><Relationship Type="http://schemas.openxmlformats.org/officeDocument/2006/relationships/hyperlink" Id="rId38" Target="https://cisofy.com/lynis/" TargetMode="External" /><Relationship Type="http://schemas.openxmlformats.org/officeDocument/2006/relationships/hyperlink" Id="rId50" Target="https://docs.velociraptor.app/" TargetMode="External" /><Relationship Type="http://schemas.openxmlformats.org/officeDocument/2006/relationships/hyperlink" Id="rId31" Target="https://intuitem.github.io/ciso-assistant-community/" TargetMode="External" /><Relationship Type="http://schemas.openxmlformats.org/officeDocument/2006/relationships/hyperlink" Id="rId40" Target="https://nmap.org/" TargetMode="External" /><Relationship Type="http://schemas.openxmlformats.org/officeDocument/2006/relationships/hyperlink" Id="rId33" Target="https://wazuh.com/" TargetMode="External" /><Relationship Type="http://schemas.openxmlformats.org/officeDocument/2006/relationships/hyperlink" Id="rId71"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2" Target="https://www.cisecurity.org/controls/cis-controls-navigator" TargetMode="External" /><Relationship Type="http://schemas.openxmlformats.org/officeDocument/2006/relationships/hyperlink" Id="rId48" Target="https://www.defectdojo.org/" TargetMode="External" /><Relationship Type="http://schemas.openxmlformats.org/officeDocument/2006/relationships/hyperlink" Id="rId46" Target="https://www.keycloak.org/" TargetMode="External" /><Relationship Type="http://schemas.openxmlformats.org/officeDocument/2006/relationships/hyperlink" Id="rId36"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2026-07-28T18:38:48Z</dcterms:created>
  <dcterms:modified xsi:type="dcterms:W3CDTF">2026-07-28T18:38:48Z</dcterms:modified>
</cp:coreProperties>
</file>

<file path=docProps/custom.xml><?xml version="1.0" encoding="utf-8"?>
<Properties xmlns="http://schemas.openxmlformats.org/officeDocument/2006/custom-properties" xmlns:vt="http://schemas.openxmlformats.org/officeDocument/2006/docPropsVTypes"/>
</file>