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CYBERSECURITY, PRIVACY &amp; COMPLIANCE SERIES</w:t>
      </w:r>
    </w:p>
    <w:p>
      <w:pPr>
        <w:pStyle w:val="BodyText"/>
      </w:pPr>
      <w:r>
        <w:rPr>
          <w:b/>
          <w:bCs/>
        </w:rPr>
        <w:t xml:space="preserve">GDPR</w:t>
      </w:r>
    </w:p>
    <w:p>
      <w:pPr>
        <w:pStyle w:val="BodyText"/>
      </w:pPr>
      <w:r>
        <w:rPr>
          <w:b/>
          <w:bCs/>
        </w:rPr>
        <w:t xml:space="preserve">Un manual práctico para administradores y analistas jóvenes</w:t>
      </w:r>
    </w:p>
    <w:p>
      <w:pPr>
        <w:pStyle w:val="BodyText"/>
      </w:pPr>
      <w:r>
        <w:rPr>
          <w:i/>
          <w:iCs/>
        </w:rPr>
        <w:t xml:space="preserve">Cómo se desarrolla, opera, demuestra y mejora el trabajo de privacidad</w:t>
      </w:r>
    </w:p>
    <w:p>
      <w:pPr>
        <w:pStyle w:val="BodyText"/>
      </w:pPr>
      <w:r>
        <w:rPr>
          <w:b/>
          <w:bCs/>
        </w:rPr>
        <w:t xml:space="preserve">Alberto (Al) Leiva</w:t>
      </w:r>
    </w:p>
    <w:p>
      <w:pPr>
        <w:pStyle w:val="BodyText"/>
      </w:pPr>
      <w:r>
        <w:t xml:space="preserve">Primera edición • Julio 2026</w:t>
      </w:r>
    </w:p>
    <w:p>
      <w:pPr>
        <w:pStyle w:val="BodyText"/>
      </w:pPr>
      <w:r>
        <w:rPr>
          <w:b/>
          <w:bCs/>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1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9"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9"/>
    <w:bookmarkStart w:id="10"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10"/>
    <w:bookmarkEnd w:id="11"/>
    <w:bookmarkStart w:id="12" w:name="prefacio"/>
    <w:p>
      <w:pPr>
        <w:pStyle w:val="Heading1"/>
      </w:pPr>
      <w:r>
        <w:t xml:space="preserve">Prefacio</w:t>
      </w:r>
    </w:p>
    <w:p>
      <w:pPr>
        <w:pStyle w:val="FirstParagraph"/>
      </w:pPr>
      <w:r>
        <w:rPr>
          <w:i/>
          <w:iCs/>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
          <w:bCs/>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
          <w:iCs/>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juniores deben estudiar los derechos, evidencia, guía de artículos, herramientas, laboratorio ficticio, proyectos de cartera y capítulo de entrevista.</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12"/>
    <w:bookmarkStart w:id="1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 juegos GDPR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13"/>
    <w:bookmarkStart w:id="20" w:name="gdpr-foundations"/>
    <w:p>
      <w:pPr>
        <w:pStyle w:val="Heading1"/>
      </w:pPr>
      <w:r>
        <w:t xml:space="preserve">1. GDPR Foundations</w:t>
      </w:r>
    </w:p>
    <w:p>
      <w:pPr>
        <w:pStyle w:val="FirstParagraph"/>
      </w:pPr>
      <w:r>
        <w:rPr>
          <w:i/>
          <w:iCs/>
        </w:rPr>
        <w:t xml:space="preserve">Lo que la ley protege, lo que significa el cumplimiento, y lo que los administradores poseen.</w:t>
      </w:r>
    </w:p>
    <w:p>
      <w:pPr>
        <w:pStyle w:val="BodyText"/>
      </w:pPr>
      <w:r>
        <w:t xml:space="preserve">יimg src=</w:t>
      </w:r>
      <w:r>
        <w:t xml:space="preserve">“media/image1.png”</w:t>
      </w:r>
      <w:r>
        <w:t xml:space="preserve"> </w:t>
      </w:r>
      <w:r>
        <w:t xml:space="preserve">style=</w:t>
      </w:r>
      <w:r>
        <w:t xml:space="preserve">“width:6.15in;height:3.23744in”</w:t>
      </w:r>
      <w:r>
        <w:t xml:space="preserve"> </w:t>
      </w:r>
      <w:r>
        <w:t xml:space="preserve">alt=</w:t>
      </w:r>
      <w:r>
        <w:t xml:space="preserve">“Cuatro bloques conectados muestran personas, datos, propósito y control.”</w:t>
      </w:r>
      <w:r>
        <w:t xml:space="preserve"> </w:t>
      </w:r>
      <w:r>
        <w:t xml:space="preserve">/</w:t>
      </w:r>
    </w:p>
    <w:p>
      <w:pPr>
        <w:pStyle w:val="BodyText"/>
      </w:pPr>
      <w:r>
        <w:t xml:space="preserve">Figura 1. GDPR como un programa de gestión práctica</w:t>
      </w:r>
    </w:p>
    <w:bookmarkStart w:id="14"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14"/>
    <w:bookmarkStart w:id="15"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15"/>
    <w:bookmarkStart w:id="16"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pStyle w:val="Compact"/>
        <w:numPr>
          <w:ilvl w:val="0"/>
          <w:numId w:val="1002"/>
        </w:numPr>
      </w:pPr>
      <w:r>
        <w:t xml:space="preserve">Alcance, roles y definiciones</w:t>
      </w:r>
    </w:p>
    <w:p>
      <w:pPr>
        <w:pStyle w:val="FirstParagraph"/>
      </w:pPr>
      <w:r>
        <w:rPr>
          <w:i/>
          <w:iCs/>
        </w:rPr>
        <w:t xml:space="preserve">Cómo decidir si GDPR aplica y quién es responsable</w:t>
      </w:r>
      <w:r>
        <w:t xml:space="preserve">.</w:t>
      </w:r>
    </w:p>
    <w:bookmarkEnd w:id="16"/>
    <w:bookmarkStart w:id="17"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17"/>
    <w:bookmarkStart w:id="18" w:name="funciones-básicas"/>
    <w:p>
      <w:pPr>
        <w:pStyle w:val="Heading2"/>
      </w:pPr>
      <w:r>
        <w:t xml:space="preserve">2.2 Funciones básicas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18"/>
    <w:bookmarkStart w:id="19"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t xml:space="preserve">*Manager checkpoint:** Requiere un análisis por escrito de alcance y función antes de aprobar un nuevo producto, proveedor, tecnología de seguimiento, caso de uso de inteligencia artificial o flujo internacional de datos. |</w:t>
      </w:r>
      <w:r>
        <w:t xml:space="preserve"> </w:t>
      </w:r>
      <w:r>
        <w:t xml:space="preserve">|. |</w:t>
      </w:r>
    </w:p>
    <w:bookmarkEnd w:id="19"/>
    <w:bookmarkEnd w:id="20"/>
    <w:bookmarkStart w:id="26" w:name="principios-y-bases-legales"/>
    <w:p>
      <w:pPr>
        <w:pStyle w:val="Heading1"/>
      </w:pPr>
      <w:r>
        <w:t xml:space="preserve">3. Principios y bases legales</w:t>
      </w:r>
    </w:p>
    <w:p>
      <w:pPr>
        <w:pStyle w:val="FirstParagraph"/>
      </w:pPr>
      <w:r>
        <w:rPr>
          <w:i/>
          <w:iCs/>
        </w:rPr>
        <w:t xml:space="preserve">Las reglas que conforman cada propósito de procesamiento.</w:t>
      </w:r>
    </w:p>
    <w:p>
      <w:pPr>
        <w:pStyle w:val="BodyText"/>
      </w:pPr>
      <w:r>
        <w:t xml:space="preserve">■img src=</w:t>
      </w:r>
      <w:r>
        <w:t xml:space="preserve">“media/image2.png”</w:t>
      </w:r>
      <w:r>
        <w:t xml:space="preserve"> </w:t>
      </w:r>
      <w:r>
        <w:t xml:space="preserve">estilo=</w:t>
      </w:r>
      <w:r>
        <w:t xml:space="preserve">“width:6.15in;height:3.34699in”</w:t>
      </w:r>
      <w:r>
        <w:t xml:space="preserve"> </w:t>
      </w:r>
      <w:r>
        <w:t xml:space="preserve">alt=</w:t>
      </w:r>
      <w:r>
        <w:t xml:space="preserve">“El ciclo de vida conecta la colección, el uso, el compartir, la retención y la eliminación.”</w:t>
      </w:r>
      <w:r>
        <w:t xml:space="preserve"> </w:t>
      </w:r>
      <w:r>
        <w:t xml:space="preserve">/</w:t>
      </w:r>
    </w:p>
    <w:p>
      <w:pPr>
        <w:pStyle w:val="BodyText"/>
      </w:pPr>
      <w:r>
        <w:t xml:space="preserve">Gráfico 2 Ciclo de vida de datos personales</w:t>
      </w:r>
    </w:p>
    <w:bookmarkStart w:id="21" w:name="artículo-5-principios"/>
    <w:p>
      <w:pPr>
        <w:pStyle w:val="Heading2"/>
      </w:pPr>
      <w:r>
        <w:t xml:space="preserve">3.1 Artículo 5 Principios</w:t>
      </w:r>
    </w:p>
    <w:p>
      <w:pPr>
        <w:pStyle w:val="FirstParagraph"/>
      </w:pPr>
      <w:r>
        <w:rPr>
          <w:b/>
          <w:bCs/>
        </w:rPr>
        <w:t xml:space="preserve">Principio</w:t>
      </w:r>
      <w:r>
        <w:t xml:space="preserve"> </w:t>
      </w:r>
      <w:r>
        <w:t xml:space="preserve">|</w:t>
      </w:r>
      <w:r>
        <w:t xml:space="preserve"> </w:t>
      </w:r>
      <w:r>
        <w:rPr>
          <w:b/>
          <w:bCs/>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21"/>
    <w:bookmarkStart w:id="22" w:name="bases-legales-en-virtud-del-artículo-6"/>
    <w:p>
      <w:pPr>
        <w:pStyle w:val="Heading2"/>
      </w:pPr>
      <w:r>
        <w:t xml:space="preserve">3.2 Bases legales en virtud del artículo 6</w:t>
      </w:r>
    </w:p>
    <w:p>
      <w:pPr>
        <w:pStyle w:val="FirstParagraph"/>
      </w:pPr>
      <w:r>
        <w:rPr>
          <w:b/>
          <w:bCs/>
        </w:rPr>
        <w:t xml:space="preserve">Basis</w:t>
      </w:r>
      <w:r>
        <w:t xml:space="preserve"> </w:t>
      </w:r>
      <w:r>
        <w:t xml:space="preserve">|</w:t>
      </w:r>
      <w:r>
        <w:t xml:space="preserve"> </w:t>
      </w:r>
      <w:r>
        <w:rPr>
          <w:b/>
          <w:bCs/>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22"/>
    <w:bookmarkStart w:id="2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pStyle w:val="Compact"/>
        <w:numPr>
          <w:ilvl w:val="0"/>
          <w:numId w:val="1004"/>
        </w:numPr>
      </w:pPr>
      <w:r>
        <w:t xml:space="preserve">Derechos de Asunto de datos</w:t>
      </w:r>
    </w:p>
    <w:p>
      <w:pPr>
        <w:pStyle w:val="FirstParagraph"/>
      </w:pPr>
      <w:r>
        <w:rPr>
          <w:i/>
          <w:iCs/>
        </w:rPr>
        <w:t xml:space="preserve">Cómo recibir, evaluar, completar y documentar solicitudes</w:t>
      </w:r>
      <w:r>
        <w:t xml:space="preserve">.</w:t>
      </w:r>
    </w:p>
    <w:p>
      <w:pPr>
        <w:pStyle w:val="BodyText"/>
      </w:pPr>
      <w:r>
        <w:t xml:space="preserve">■img src=</w:t>
      </w:r>
      <w:r>
        <w:t xml:space="preserve">“media/image3.png”</w:t>
      </w:r>
      <w:r>
        <w:t xml:space="preserve"> </w:t>
      </w:r>
      <w:r>
        <w:t xml:space="preserve">estilo=</w:t>
      </w:r>
      <w:r>
        <w:t xml:space="preserve">“Ancho:6.15in; Altura:3.34699in”</w:t>
      </w:r>
      <w:r>
        <w:t xml:space="preserve"> </w:t>
      </w:r>
      <w:r>
        <w:t xml:space="preserve">alt=</w:t>
      </w:r>
      <w:r>
        <w:t xml:space="preserve">“Un flujo de trabajo de cinco pasos cubre la ingesta a través del resultado registrado.”</w:t>
      </w:r>
      <w:r>
        <w:t xml:space="preserve"> </w:t>
      </w:r>
      <w:r>
        <w:t xml:space="preserve">/</w:t>
      </w:r>
    </w:p>
    <w:p>
      <w:pPr>
        <w:pStyle w:val="BodyText"/>
      </w:pPr>
      <w:r>
        <w:t xml:space="preserve">Figure 3. Data-subject-rights workflow</w:t>
      </w:r>
    </w:p>
    <w:p>
      <w:pPr>
        <w:pStyle w:val="BodyText"/>
      </w:pPr>
      <w:r>
        <w:rPr>
          <w:b/>
          <w:bCs/>
        </w:rPr>
        <w:t xml:space="preserve">Justo</w:t>
      </w:r>
      <w:r>
        <w:t xml:space="preserve"> </w:t>
      </w:r>
      <w:r>
        <w:t xml:space="preserve">Silencioso</w:t>
      </w:r>
      <w:r>
        <w:t xml:space="preserve"> </w:t>
      </w:r>
      <w:r>
        <w:rPr>
          <w:b/>
          <w:bCs/>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23"/>
    <w:bookmarkStart w:id="2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24"/>
    <w:bookmarkStart w:id="2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25"/>
    <w:bookmarkEnd w:id="26"/>
    <w:bookmarkStart w:id="30" w:name="controller-and-processor-governance"/>
    <w:p>
      <w:pPr>
        <w:pStyle w:val="Heading1"/>
      </w:pPr>
      <w:r>
        <w:t xml:space="preserve">5. Controller and Processor Governance</w:t>
      </w:r>
    </w:p>
    <w:p>
      <w:pPr>
        <w:pStyle w:val="FirstParagraph"/>
      </w:pPr>
      <w:r>
        <w:rPr>
          <w:i/>
          <w:iCs/>
        </w:rPr>
        <w:t xml:space="preserve">Los registros operativos, contratos, funciones y exámenes que hacen real la rendición de cuentas</w:t>
      </w:r>
      <w:r>
        <w:t xml:space="preserve">.</w:t>
      </w:r>
    </w:p>
    <w:bookmarkStart w:id="2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27"/>
    <w:bookmarkStart w:id="2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28"/>
    <w:bookmarkStart w:id="29" w:name="accountability-records"/>
    <w:p>
      <w:pPr>
        <w:pStyle w:val="Heading2"/>
      </w:pPr>
      <w:r>
        <w:t xml:space="preserve">5.3 Accountability records</w:t>
      </w:r>
    </w:p>
    <w:p>
      <w:pPr>
        <w:pStyle w:val="FirstParagraph"/>
      </w:pPr>
      <w:r>
        <w:rPr>
          <w:b/>
          <w:bCs/>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29"/>
    <w:bookmarkEnd w:id="30"/>
    <w:bookmarkStart w:id="32" w:name="seguridad-y-datos-personales"/>
    <w:p>
      <w:pPr>
        <w:pStyle w:val="Heading1"/>
      </w:pPr>
      <w:r>
        <w:t xml:space="preserve">6. Seguridad y Datos Personales</w:t>
      </w:r>
    </w:p>
    <w:p>
      <w:pPr>
        <w:pStyle w:val="Compact"/>
        <w:numPr>
          <w:ilvl w:val="0"/>
          <w:numId w:val="1006"/>
        </w:numPr>
      </w:pPr>
      <w:r>
        <w:t xml:space="preserve">Salvaguardias basadas en el ruido, hechos de incidentes, decisiones de notificación y pruebas*.</w:t>
      </w:r>
    </w:p>
    <w:p>
      <w:pPr>
        <w:pStyle w:val="FirstParagraph"/>
      </w:pPr>
      <w:r>
        <w:t xml:space="preserve">■img src=</w:t>
      </w:r>
      <w:r>
        <w:t xml:space="preserve">“media/image4.png”</w:t>
      </w:r>
      <w:r>
        <w:t xml:space="preserve"> </w:t>
      </w:r>
      <w:r>
        <w:t xml:space="preserve">style=</w:t>
      </w:r>
      <w:r>
        <w:t xml:space="preserve">“width:6.15in;height:3.45654in”</w:t>
      </w:r>
      <w:r>
        <w:t xml:space="preserve"> </w:t>
      </w:r>
      <w:r>
        <w:t xml:space="preserve">alt=</w:t>
      </w:r>
      <w:r>
        <w:t xml:space="preserve">“Contener, evaluar, decidir y mejorar se muestran como un proceso vinculado.”</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31" w:name="breach-decisions"/>
    <w:p>
      <w:pPr>
        <w:pStyle w:val="Heading2"/>
      </w:pPr>
      <w:r>
        <w:t xml:space="preserve">6.2 Breach decisions</w:t>
      </w:r>
    </w:p>
    <w:p>
      <w:pPr>
        <w:pStyle w:val="FirstParagraph"/>
      </w:pPr>
      <w:r>
        <w:rPr>
          <w:b/>
          <w:bCs/>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
          <w:bCs/>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31"/>
    <w:bookmarkEnd w:id="32"/>
    <w:bookmarkStart w:id="36" w:name="dpia-privacy-by-design-and-the-dpo"/>
    <w:p>
      <w:pPr>
        <w:pStyle w:val="Heading1"/>
      </w:pPr>
      <w:r>
        <w:t xml:space="preserve">7. DPIA, Privacy by Design, and the DPO</w:t>
      </w:r>
    </w:p>
    <w:p>
      <w:pPr>
        <w:pStyle w:val="FirstParagraph"/>
      </w:pPr>
      <w:r>
        <w:rPr>
          <w:i/>
          <w:iCs/>
        </w:rPr>
        <w:t xml:space="preserve">Cómo encontrar el procesamiento temprano de alto riesgo y establecer salvaguardias en las decisiones</w:t>
      </w:r>
      <w:r>
        <w:t xml:space="preserve">.</w:t>
      </w:r>
    </w:p>
    <w:bookmarkStart w:id="33"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33"/>
    <w:bookmarkStart w:id="34"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34"/>
    <w:bookmarkStart w:id="35"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35"/>
    <w:bookmarkEnd w:id="36"/>
    <w:bookmarkStart w:id="45" w:name="transferencias-internacionales-de-datos"/>
    <w:p>
      <w:pPr>
        <w:pStyle w:val="Heading1"/>
      </w:pPr>
      <w:r>
        <w:t xml:space="preserve">8. Transferencias internacionales de datos</w:t>
      </w:r>
    </w:p>
    <w:p>
      <w:pPr>
        <w:pStyle w:val="FirstParagraph"/>
      </w:pPr>
      <w:r>
        <w:rPr>
          <w:i/>
          <w:iCs/>
        </w:rPr>
        <w:t xml:space="preserve">Cómo identificar las transferencias y utilizar herramientas legales de transferencia.</w:t>
      </w:r>
    </w:p>
    <w:bookmarkStart w:id="37"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37"/>
    <w:bookmarkStart w:id="38" w:name="common-transfer-evidence"/>
    <w:p>
      <w:pPr>
        <w:pStyle w:val="Heading2"/>
      </w:pPr>
      <w:r>
        <w:t xml:space="preserve">8.2 Common transfer evidence</w:t>
      </w:r>
    </w:p>
    <w:p>
      <w:pPr>
        <w:pStyle w:val="FirstParagraph"/>
      </w:pPr>
      <w:r>
        <w:rPr>
          <w:b/>
          <w:bCs/>
        </w:rPr>
        <w:t xml:space="preserve">Item</w:t>
      </w:r>
      <w:r>
        <w:t xml:space="preserve"> </w:t>
      </w:r>
      <w:r>
        <w:t xml:space="preserve">|</w:t>
      </w:r>
      <w:r>
        <w:t xml:space="preserve"> </w:t>
      </w:r>
      <w:r>
        <w:rPr>
          <w:b/>
          <w:bCs/>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pStyle w:val="Compact"/>
        <w:numPr>
          <w:ilvl w:val="0"/>
          <w:numId w:val="1009"/>
        </w:numPr>
      </w:pPr>
      <w:r>
        <w:t xml:space="preserve">Guía completa del artículo por artículo</w:t>
      </w:r>
    </w:p>
    <w:p>
      <w:pPr>
        <w:pStyle w:val="FirstParagraph"/>
      </w:pPr>
      <w:r>
        <w:rPr>
          <w:i/>
          <w:iCs/>
        </w:rPr>
        <w:t xml:space="preserve">Una guía de trabajo concisa para todos los artículos 99 GDPR. Utilice el texto legal oficial para el análisis legal real.</w:t>
      </w:r>
    </w:p>
    <w:p>
      <w:pPr>
        <w:pStyle w:val="BodyText"/>
      </w:pPr>
      <w:r>
        <w:rPr>
          <w:b/>
          <w:bCs/>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1</w:t>
            </w:r>
          </w:p>
        </w:tc>
      </w:tr>
      <w:tr>
        <w:tc>
          <w:tcPr/>
          <w:p>
            <w:pPr>
              <w:pStyle w:val="Compact"/>
            </w:pPr>
            <w:r>
              <w:t xml:space="preserve">TEN 2</w:t>
            </w:r>
          </w:p>
        </w:tc>
      </w:tr>
      <w:tr>
        <w:tc>
          <w:tcPr/>
          <w:p>
            <w:pPr>
              <w:pStyle w:val="Compact"/>
            </w:pPr>
            <w:r>
              <w:t xml:space="preserve">3</w:t>
            </w:r>
          </w:p>
        </w:tc>
      </w:tr>
      <w:tr>
        <w:tc>
          <w:tcPr/>
          <w:p>
            <w:pPr>
              <w:pStyle w:val="Compact"/>
            </w:pPr>
            <w:r>
              <w:t xml:space="preserve">4</w:t>
            </w:r>
          </w:p>
        </w:tc>
      </w:tr>
    </w:tbl>
    <w:bookmarkEnd w:id="38"/>
    <w:bookmarkStart w:id="39" w:name="capítulo-ii---principios"/>
    <w:p>
      <w:pPr>
        <w:pStyle w:val="Heading2"/>
      </w:pPr>
      <w:r>
        <w:t xml:space="preserve">9.2 Capítulo II - Principios</w:t>
      </w:r>
    </w:p>
    <w:p>
      <w:pPr>
        <w:pStyle w:val="FirstParagraph"/>
      </w:pPr>
      <w:r>
        <w:rPr>
          <w:b/>
          <w:bCs/>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39"/>
    <w:bookmarkStart w:id="40" w:name="Xe778e60ae37dec975589547671413bd1ccb1f95"/>
    <w:p>
      <w:pPr>
        <w:pStyle w:val="Heading2"/>
      </w:pPr>
      <w:r>
        <w:t xml:space="preserve">9.3 Capítulo III - Derechos del sujeto de datos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TEN 12</w:t>
            </w:r>
          </w:p>
        </w:tc>
      </w:tr>
      <w:tr>
        <w:tc>
          <w:tcPr/>
          <w:p>
            <w:pPr>
              <w:pStyle w:val="Compact"/>
            </w:pPr>
            <w:r>
              <w:t xml:space="preserve">13</w:t>
            </w:r>
          </w:p>
        </w:tc>
      </w:tr>
      <w:tr>
        <w:tc>
          <w:tcPr/>
          <w:p>
            <w:pPr>
              <w:pStyle w:val="Compact"/>
            </w:pPr>
            <w:r>
              <w:t xml:space="preserve">14</w:t>
            </w:r>
          </w:p>
        </w:tc>
      </w:tr>
      <w:tr>
        <w:tc>
          <w:tcPr/>
          <w:p>
            <w:pPr>
              <w:pStyle w:val="Compact"/>
            </w:pPr>
            <w:r>
              <w:t xml:space="preserve">TEN 15</w:t>
            </w:r>
          </w:p>
        </w:tc>
      </w:tr>
      <w:tr>
        <w:tc>
          <w:tcPr/>
          <w:p>
            <w:pPr>
              <w:pStyle w:val="Compact"/>
            </w:pPr>
            <w:r>
              <w:t xml:space="preserve">16</w:t>
            </w:r>
          </w:p>
        </w:tc>
      </w:tr>
      <w:tr>
        <w:tc>
          <w:tcPr/>
          <w:p>
            <w:pPr>
              <w:pStyle w:val="Compact"/>
            </w:pPr>
            <w:r>
              <w:t xml:space="preserve">TEN 17 ANTERIENTE Derecho a la erradicación de la vida Requiere la supresión en situaciones enumeradas, sujetas a excepciones legales.</w:t>
            </w:r>
          </w:p>
        </w:tc>
      </w:tr>
      <w:tr>
        <w:tc>
          <w:tcPr/>
          <w:p>
            <w:pPr>
              <w:pStyle w:val="Compact"/>
            </w:pPr>
            <w:r>
              <w:t xml:space="preserve">18</w:t>
            </w:r>
          </w:p>
        </w:tc>
      </w:tr>
      <w:tr>
        <w:tc>
          <w:tcPr/>
          <w:p>
            <w:pPr>
              <w:pStyle w:val="Compact"/>
            </w:pPr>
            <w:r>
              <w:t xml:space="preserve">19</w:t>
            </w:r>
          </w:p>
        </w:tc>
      </w:tr>
      <w:tr>
        <w:tc>
          <w:tcPr/>
          <w:p>
            <w:pPr>
              <w:pStyle w:val="Compact"/>
            </w:pPr>
            <w:r>
              <w:t xml:space="preserve">TEN 20</w:t>
            </w:r>
          </w:p>
        </w:tc>
      </w:tr>
      <w:tr>
        <w:tc>
          <w:tcPr/>
          <w:p>
            <w:pPr>
              <w:pStyle w:val="Compact"/>
            </w:pPr>
            <w:r>
              <w:t xml:space="preserve">TEN 21</w:t>
            </w:r>
          </w:p>
        </w:tc>
      </w:tr>
      <w:tr>
        <w:tc>
          <w:tcPr/>
          <w:p>
            <w:pPr>
              <w:pStyle w:val="Compact"/>
            </w:pPr>
            <w:r>
              <w:t xml:space="preserve">22</w:t>
            </w:r>
          </w:p>
        </w:tc>
      </w:tr>
      <w:tr>
        <w:tc>
          <w:tcPr/>
          <w:p>
            <w:pPr>
              <w:pStyle w:val="Compact"/>
            </w:pPr>
            <w:r>
              <w:t xml:space="preserve">23</w:t>
            </w:r>
          </w:p>
        </w:tc>
      </w:tr>
    </w:tbl>
    <w:bookmarkEnd w:id="40"/>
    <w:bookmarkStart w:id="41" w:name="capítulo-iv---controlador-y-procesador"/>
    <w:p>
      <w:pPr>
        <w:pStyle w:val="Heading2"/>
      </w:pPr>
      <w:r>
        <w:t xml:space="preserve">9.4 Capítulo IV - Controlador y procesador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41"/>
    <w:bookmarkStart w:id="42" w:name="X3c73625674c00d068253ebfaa717a159ae7c9f6"/>
    <w:p>
      <w:pPr>
        <w:pStyle w:val="Heading2"/>
      </w:pPr>
      <w:r>
        <w:t xml:space="preserve">9.5 Capítulo V - Transferencias a terceros países o organizaciones internacionales</w:t>
      </w:r>
    </w:p>
    <w:p>
      <w:pPr>
        <w:pStyle w:val="FirstParagraph"/>
      </w:pPr>
      <w:r>
        <w:rPr>
          <w:b/>
          <w:bCs/>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
          <w:bCs/>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
          <w:bCs/>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42"/>
    <w:bookmarkStart w:id="43" w:name="X65d605b93896499204db6592f48522efcd3e1fc"/>
    <w:p>
      <w:pPr>
        <w:pStyle w:val="Heading2"/>
      </w:pPr>
      <w:r>
        <w:t xml:space="preserve">9.8 Capítulo VIII - Remedios, responsabilidad y sanciones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TEN 77</w:t>
            </w:r>
          </w:p>
        </w:tc>
      </w:tr>
      <w:tr>
        <w:tc>
          <w:tcPr/>
          <w:p>
            <w:pPr>
              <w:pStyle w:val="Compact"/>
            </w:pPr>
            <w:r>
              <w:t xml:space="preserve">tención 78 Silencioso recurso judicial contra una autoridad supervisora</w:t>
            </w:r>
          </w:p>
        </w:tc>
      </w:tr>
      <w:tr>
        <w:tc>
          <w:tcPr/>
          <w:p>
            <w:pPr>
              <w:pStyle w:val="Compact"/>
            </w:pPr>
            <w:r>
              <w:t xml:space="preserve">tención 79 Silencioso recurso judicial contra un controlador o procesador</w:t>
            </w:r>
          </w:p>
        </w:tc>
      </w:tr>
      <w:tr>
        <w:tc>
          <w:tcPr/>
          <w:p>
            <w:pPr>
              <w:pStyle w:val="Compact"/>
            </w:pPr>
            <w:r>
              <w:t xml:space="preserve">80</w:t>
            </w:r>
          </w:p>
        </w:tc>
      </w:tr>
      <w:tr>
        <w:tc>
          <w:tcPr/>
          <w:p>
            <w:pPr>
              <w:pStyle w:val="Compact"/>
            </w:pPr>
            <w:r>
              <w:t xml:space="preserve">81 Silencioso de los procedimientos</w:t>
            </w:r>
          </w:p>
        </w:tc>
      </w:tr>
      <w:tr>
        <w:tc>
          <w:tcPr/>
          <w:p>
            <w:pPr>
              <w:pStyle w:val="Compact"/>
            </w:pPr>
            <w:r>
              <w:t xml:space="preserve">TEN 82</w:t>
            </w:r>
          </w:p>
        </w:tc>
      </w:tr>
      <w:tr>
        <w:tc>
          <w:tcPr/>
          <w:p>
            <w:pPr>
              <w:pStyle w:val="Compac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
          <w:bCs/>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43"/>
    <w:bookmarkStart w:id="44" w:name="X41c4f42f87f07206edb7eee234bba1c93f9afd7"/>
    <w:p>
      <w:pPr>
        <w:pStyle w:val="Heading2"/>
      </w:pPr>
      <w:r>
        <w:t xml:space="preserve">9.10 Capítulo X - Actos delegados e implementados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TEN 92</w:t>
            </w:r>
          </w:p>
        </w:tc>
      </w:tr>
      <w:tr>
        <w:tc>
          <w:tcPr/>
          <w:p>
            <w:pPr>
              <w:pStyle w:val="Compact"/>
            </w:pPr>
            <w:r>
              <w:t xml:space="preserve">tención 93 procedimiento del Comité Permanente</w:t>
            </w:r>
          </w:p>
        </w:tc>
      </w:tr>
    </w:tbl>
    <w:p>
      <w:pPr>
        <w:pStyle w:val="BodyText"/>
      </w:pPr>
      <w:r>
        <w:t xml:space="preserve">Capítulo XI - Disposiciones finales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w:t>
            </w:r>
          </w:p>
        </w:tc>
      </w:tr>
      <w:tr>
        <w:tc>
          <w:tcPr/>
          <w:p>
            <w:pPr>
              <w:pStyle w:val="Compact"/>
            </w:pPr>
            <w:r>
              <w:t xml:space="preserve">TEN 94</w:t>
            </w:r>
          </w:p>
        </w:tc>
      </w:tr>
      <w:tr>
        <w:tc>
          <w:tcPr/>
          <w:p>
            <w:pPr>
              <w:pStyle w:val="Compact"/>
            </w:pPr>
            <w:r>
              <w:t xml:space="preserve">95</w:t>
            </w:r>
          </w:p>
        </w:tc>
      </w:tr>
      <w:tr>
        <w:tc>
          <w:tcPr/>
          <w:p>
            <w:pPr>
              <w:pStyle w:val="Compact"/>
            </w:pPr>
            <w:r>
              <w:t xml:space="preserve">96</w:t>
            </w:r>
          </w:p>
        </w:tc>
      </w:tr>
      <w:tr>
        <w:tc>
          <w:tcPr/>
          <w:p>
            <w:pPr>
              <w:pStyle w:val="Compact"/>
            </w:pPr>
            <w:r>
              <w:t xml:space="preserve">Ø 97 tención La Comisión informa de la existencia de informes periódicos de evaluación, especialmente sobre transferencias y cooperación.</w:t>
            </w:r>
          </w:p>
        </w:tc>
      </w:tr>
      <w:tr>
        <w:tc>
          <w:tcPr/>
          <w:p>
            <w:pPr>
              <w:pStyle w:val="Compact"/>
            </w:pPr>
            <w:r>
              <w:t xml:space="preserve">TEN 98</w:t>
            </w:r>
          </w:p>
        </w:tc>
      </w:tr>
      <w:tr>
        <w:tc>
          <w:tcPr/>
          <w:p>
            <w:pPr>
              <w:pStyle w:val="Compact"/>
            </w:pPr>
            <w:r>
              <w:t xml:space="preserve">99</w:t>
            </w:r>
          </w:p>
        </w:tc>
      </w:tr>
    </w:tbl>
    <w:bookmarkEnd w:id="44"/>
    <w:bookmarkEnd w:id="45"/>
    <w:bookmarkStart w:id="49" w:name="libro-de-juegos-gdpr"/>
    <w:p>
      <w:pPr>
        <w:pStyle w:val="Heading1"/>
      </w:pPr>
      <w:r>
        <w:t xml:space="preserve">10. Libro de juegos GDPR</w:t>
      </w:r>
    </w:p>
    <w:p>
      <w:pPr>
        <w:pStyle w:val="FirstParagraph"/>
      </w:pPr>
      <w:r>
        <w:rPr>
          <w:i/>
          <w:iCs/>
        </w:rPr>
        <w:t xml:space="preserve">Preguntas, reuniones, métricas, decisiones y señales de advertencia para la gestión</w:t>
      </w:r>
      <w:r>
        <w:t xml:space="preserve">.</w:t>
      </w:r>
    </w:p>
    <w:bookmarkStart w:id="46"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46"/>
    <w:bookmarkStart w:id="47" w:name="dashboard-mensual"/>
    <w:p>
      <w:pPr>
        <w:pStyle w:val="Heading2"/>
      </w:pPr>
      <w:r>
        <w:t xml:space="preserve">10.2 Dashboard mensual</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47"/>
    <w:bookmarkStart w:id="48"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48"/>
    <w:bookmarkEnd w:id="49"/>
    <w:bookmarkStart w:id="87" w:name="from-beginner-to-junior-privacy-analyst"/>
    <w:p>
      <w:pPr>
        <w:pStyle w:val="Heading1"/>
      </w:pPr>
      <w:r>
        <w:t xml:space="preserve">11. From Beginner to Junior Privacy Analyst</w:t>
      </w:r>
    </w:p>
    <w:p>
      <w:pPr>
        <w:pStyle w:val="FirstParagraph"/>
      </w:pPr>
      <w:r>
        <w:rPr>
          <w:i/>
          <w:iCs/>
        </w:rPr>
        <w:t xml:space="preserve">Un camino seguro y honesto de aprender la ley a demostrar la capacidad de entrada</w:t>
      </w:r>
      <w:r>
        <w:t xml:space="preserve">.</w:t>
      </w:r>
    </w:p>
    <w:p>
      <w:pPr>
        <w:pStyle w:val="BodyText"/>
      </w:pPr>
    </w:p>
    <w:p>
      <w:pPr>
        <w:pStyle w:val="BodyText"/>
      </w:pPr>
      <w:r>
        <w:t xml:space="preserve">Figura 5. Vía de análisis de privacidad junior</w:t>
      </w:r>
    </w:p>
    <w:bookmarkStart w:id="50" w:name="títulos-de-trabajo"/>
    <w:p>
      <w:pPr>
        <w:pStyle w:val="Heading2"/>
      </w:pPr>
      <w:r>
        <w:t xml:space="preserve">11.1 Títulos de trabajo</w:t>
      </w:r>
    </w:p>
    <w:p>
      <w:pPr>
        <w:pStyle w:val="FirstParagraph"/>
      </w:pPr>
      <w:r>
        <w:rPr>
          <w:b/>
          <w:bCs/>
        </w:rPr>
        <w:t xml:space="preserve">Análisis de privacidad de los jóvenes</w:t>
      </w:r>
    </w:p>
    <w:p>
      <w:pPr>
        <w:pStyle w:val="Compact"/>
        <w:numPr>
          <w:ilvl w:val="0"/>
          <w:numId w:val="1012"/>
        </w:numPr>
      </w:pPr>
      <w:r>
        <w:t xml:space="preserve">Analista de Protección de Datos*</w:t>
      </w:r>
    </w:p>
    <w:p>
      <w:pPr>
        <w:pStyle w:val="FirstParagraph"/>
      </w:pPr>
      <w:r>
        <w:rPr>
          <w:i/>
          <w:iCs/>
        </w:rPr>
        <w:t xml:space="preserve">Análisis de Operaciones de Privación</w:t>
      </w:r>
    </w:p>
    <w:p>
      <w:pPr>
        <w:pStyle w:val="BodyText"/>
      </w:pPr>
      <w:r>
        <w:rPr>
          <w:b/>
          <w:bCs/>
        </w:rPr>
        <w:t xml:space="preserve">GRC Analyst — Privacy</w:t>
      </w:r>
    </w:p>
    <w:p>
      <w:pPr>
        <w:pStyle w:val="BodyText"/>
      </w:pPr>
      <w:r>
        <w:rPr>
          <w:i/>
          <w:iCs/>
        </w:rPr>
        <w:t xml:space="preserve">Data Governance Analyst</w:t>
      </w:r>
    </w:p>
    <w:p>
      <w:pPr>
        <w:pStyle w:val="BodyText"/>
      </w:pPr>
      <w:r>
        <w:rPr>
          <w:b/>
          <w:bCs/>
        </w:rPr>
        <w:t xml:space="preserve">Third-Party Privacy Analyst</w:t>
      </w:r>
    </w:p>
    <w:p>
      <w:pPr>
        <w:pStyle w:val="BodyText"/>
      </w:pPr>
      <w:r>
        <w:t xml:space="preserve">** Analista de Privacía y Seguridad**</w:t>
      </w:r>
    </w:p>
    <w:p>
      <w:pPr>
        <w:pStyle w:val="BodyText"/>
      </w:pPr>
      <w:r>
        <w:rPr>
          <w:b/>
          <w:bCs/>
        </w:rPr>
        <w:t xml:space="preserve">Privacy Program Coordinator</w:t>
      </w:r>
    </w:p>
    <w:bookmarkEnd w:id="50"/>
    <w:bookmarkStart w:id="51"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51"/>
    <w:bookmarkStart w:id="52"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t xml:space="preserve">** Honra sincera:** Una cartera de laboratorio no es experiencia laboral profesional. Etiquete claramente como práctica, utilice datos ficticios y explique lo que aprendió y lo que requirió examen de expertos. |</w:t>
      </w:r>
    </w:p>
    <w:p>
      <w:pPr>
        <w:pStyle w:val="BodyText"/>
      </w:pPr>
      <w:r>
        <w:t xml:space="preserve">Respuesta</w:t>
      </w:r>
    </w:p>
    <w:p>
      <w:pPr>
        <w:pStyle w:val="BodyText"/>
      </w:pPr>
      <w:r>
        <w:t xml:space="preserve">Herramientas de código abierto para el trabajo GDPR</w:t>
      </w:r>
    </w:p>
    <w:p>
      <w:pPr>
        <w:pStyle w:val="BodyText"/>
      </w:pPr>
      <w:r>
        <w:rPr>
          <w:i/>
          <w:iCs/>
        </w:rPr>
        <w:t xml:space="preserve">Lo que cada herramienta puede soportar, cómo comenzar con seguridad, y qué evidencia conservar.</w:t>
      </w:r>
    </w:p>
    <w:p>
      <w:pPr>
        <w:pStyle w:val="BodyText"/>
      </w:pPr>
      <w:r>
        <w:t xml:space="preserve">tención</w:t>
      </w:r>
      <w:r>
        <w:t xml:space="preserve"> </w:t>
      </w:r>
      <w:r>
        <w:rPr>
          <w:b/>
          <w:bCs/>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52"/>
    <w:bookmarkStart w:id="54" w:name="ciso-assistant"/>
    <w:p>
      <w:pPr>
        <w:pStyle w:val="Heading2"/>
      </w:pPr>
      <w:r>
        <w:t xml:space="preserve">12.1 CISO Assistant</w:t>
      </w:r>
    </w:p>
    <w:p>
      <w:pPr>
        <w:pStyle w:val="FirstParagraph"/>
      </w:pPr>
      <w:r>
        <w:t xml:space="preserve">GRC y registros de control.</w:t>
      </w:r>
    </w:p>
    <w:p>
      <w:pPr>
        <w:pStyle w:val="BodyText"/>
      </w:pPr>
      <w:r>
        <w:rPr>
          <w:b/>
          <w:bCs/>
        </w:rPr>
        <w:t xml:space="preserve">Documentación y configuración oficiales</w:t>
      </w:r>
      <w:r>
        <w:t xml:space="preserve"> </w:t>
      </w:r>
      <w:r>
        <w:t xml:space="preserve">Abra la guía oficial de asistentes CISO(https://intuitem.gitbook.io/ciso-assistant)</w:t>
      </w:r>
    </w:p>
    <w:bookmarkStart w:id="53"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53"/>
    <w:bookmarkEnd w:id="54"/>
    <w:bookmarkStart w:id="55"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55"/>
    <w:bookmarkStart w:id="57" w:name="openmetadata"/>
    <w:p>
      <w:pPr>
        <w:pStyle w:val="Heading2"/>
      </w:pPr>
      <w:r>
        <w:t xml:space="preserve">12.2 OpenMetadata</w:t>
      </w:r>
    </w:p>
    <w:p>
      <w:pPr>
        <w:pStyle w:val="FirstParagraph"/>
      </w:pPr>
      <w:r>
        <w:t xml:space="preserve">Catálogo de datos y linaje.</w:t>
      </w:r>
    </w:p>
    <w:p>
      <w:pPr>
        <w:pStyle w:val="BodyText"/>
      </w:pPr>
      <w:r>
        <w:rPr>
          <w:b/>
          <w:bCs/>
        </w:rPr>
        <w:t xml:space="preserve">Documentación y configuración oficiales:</w:t>
      </w:r>
      <w:r>
        <w:t xml:space="preserve"> </w:t>
      </w:r>
      <w:r>
        <w:t xml:space="preserve">[Seguridad]Abre la guía oficial OpenMetadata realizada/u contacto](https://docs.open-metadata.org/)</w:t>
      </w:r>
    </w:p>
    <w:bookmarkStart w:id="56"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56"/>
    <w:bookmarkEnd w:id="57"/>
    <w:bookmarkStart w:id="58"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58"/>
    <w:bookmarkStart w:id="60" w:name="microsoft-presidio"/>
    <w:p>
      <w:pPr>
        <w:pStyle w:val="Heading2"/>
      </w:pPr>
      <w:r>
        <w:t xml:space="preserve">12.3 Microsoft Presidio</w:t>
      </w:r>
    </w:p>
    <w:p>
      <w:pPr>
        <w:pStyle w:val="FirstParagraph"/>
      </w:pPr>
      <w:r>
        <w:t xml:space="preserve">Detección y desidentificación de PII.</w:t>
      </w:r>
    </w:p>
    <w:p>
      <w:pPr>
        <w:pStyle w:val="BodyText"/>
      </w:pPr>
      <w:r>
        <w:rPr>
          <w:b/>
          <w:bCs/>
        </w:rPr>
        <w:t xml:space="preserve">Documentación y configuración oficiales:</w:t>
      </w:r>
      <w:r>
        <w:t xml:space="preserve"> </w:t>
      </w:r>
      <w:r>
        <w:t xml:space="preserve">[Seguridad]Abre la guía oficial de Microsoft Presidio realizada/u contacto](https://microsoft.github.io/presidio/)</w:t>
      </w:r>
    </w:p>
    <w:bookmarkStart w:id="59"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59"/>
    <w:bookmarkEnd w:id="60"/>
    <w:bookmarkStart w:id="61"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1"/>
    <w:bookmarkStart w:id="63" w:name="arx"/>
    <w:p>
      <w:pPr>
        <w:pStyle w:val="Heading2"/>
      </w:pPr>
      <w:r>
        <w:t xml:space="preserve">12.4 ARX</w:t>
      </w:r>
    </w:p>
    <w:p>
      <w:pPr>
        <w:pStyle w:val="FirstParagraph"/>
      </w:pPr>
      <w:r>
        <w:t xml:space="preserve">Anonimato de datos y análisis de riesgos.</w:t>
      </w:r>
    </w:p>
    <w:p>
      <w:pPr>
        <w:pStyle w:val="BodyText"/>
      </w:pPr>
      <w:r>
        <w:rPr>
          <w:b/>
          <w:bCs/>
        </w:rPr>
        <w:t xml:space="preserve">Documentación y configuración oficiales</w:t>
      </w:r>
      <w:r>
        <w:t xml:space="preserve"> </w:t>
      </w:r>
      <w:r>
        <w:t xml:space="preserve">Abra la guía oficial ARX efectuada/u fiel](https://arx.deidentifier.org/anonymization-tool/)</w:t>
      </w:r>
    </w:p>
    <w:bookmarkStart w:id="62"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62"/>
    <w:bookmarkEnd w:id="63"/>
    <w:bookmarkStart w:id="64"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4"/>
    <w:bookmarkStart w:id="66" w:name="keycloak"/>
    <w:p>
      <w:pPr>
        <w:pStyle w:val="Heading2"/>
      </w:pPr>
      <w:r>
        <w:t xml:space="preserve">12.5 Keycloak</w:t>
      </w:r>
    </w:p>
    <w:p>
      <w:pPr>
        <w:pStyle w:val="FirstParagraph"/>
      </w:pPr>
      <w:r>
        <w:t xml:space="preserve">Gestión de identidad y acceso.</w:t>
      </w:r>
    </w:p>
    <w:p>
      <w:pPr>
        <w:pStyle w:val="BodyText"/>
      </w:pPr>
      <w:r>
        <w:rPr>
          <w:b/>
          <w:bCs/>
        </w:rPr>
        <w:t xml:space="preserve">Característica y configuración:</w:t>
      </w:r>
      <w:r>
        <w:t xml:space="preserve"> </w:t>
      </w:r>
      <w:r>
        <w:t xml:space="preserve">[ejecutado]Abre la guía oficial de Keycloak realizada/u contacto](https://www.keycloak.org/guides)</w:t>
      </w:r>
    </w:p>
    <w:bookmarkStart w:id="65"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65"/>
    <w:bookmarkEnd w:id="66"/>
    <w:bookmarkStart w:id="67"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7"/>
    <w:bookmarkStart w:id="69" w:name="wazuh"/>
    <w:p>
      <w:pPr>
        <w:pStyle w:val="Heading2"/>
      </w:pPr>
      <w:r>
        <w:t xml:space="preserve">12.6 Wazuh</w:t>
      </w:r>
    </w:p>
    <w:p>
      <w:pPr>
        <w:pStyle w:val="FirstParagraph"/>
      </w:pPr>
      <w:r>
        <w:t xml:space="preserve">Vigilancia de la seguridad.</w:t>
      </w:r>
    </w:p>
    <w:p>
      <w:pPr>
        <w:pStyle w:val="BodyText"/>
      </w:pPr>
      <w:r>
        <w:rPr>
          <w:b/>
          <w:bCs/>
        </w:rPr>
        <w:t xml:space="preserve">Documentación y configuración oficiales</w:t>
      </w:r>
      <w:r>
        <w:t xml:space="preserve"> </w:t>
      </w:r>
      <w:r>
        <w:t xml:space="preserve">Abra la guía oficial Wazuh realizada/u título](https://documentation.wazuh.com/current/quickstart.html)</w:t>
      </w:r>
    </w:p>
    <w:bookmarkStart w:id="68"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68"/>
    <w:bookmarkEnd w:id="69"/>
    <w:bookmarkStart w:id="70"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0"/>
    <w:bookmarkStart w:id="72" w:name="owasp-zap"/>
    <w:p>
      <w:pPr>
        <w:pStyle w:val="Heading2"/>
      </w:pPr>
      <w:r>
        <w:t xml:space="preserve">12.7 OWASP ZAP</w:t>
      </w:r>
    </w:p>
    <w:p>
      <w:pPr>
        <w:pStyle w:val="FirstParagraph"/>
      </w:pPr>
      <w:r>
        <w:t xml:space="preserve">Pruebas web autorizadas.</w:t>
      </w:r>
    </w:p>
    <w:p>
      <w:pPr>
        <w:pStyle w:val="BodyText"/>
      </w:pPr>
      <w:r>
        <w:rPr>
          <w:b/>
          <w:bCs/>
        </w:rPr>
        <w:t xml:space="preserve">Documentación y configuración oficiales</w:t>
      </w:r>
      <w:r>
        <w:t xml:space="preserve"> </w:t>
      </w:r>
      <w:r>
        <w:t xml:space="preserve">Abra la guía oficial OWASP ZAP efectuada / u fiel](https://www.zaproxy.org/getting-started/)</w:t>
      </w:r>
    </w:p>
    <w:bookmarkStart w:id="71"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71"/>
    <w:bookmarkEnd w:id="72"/>
    <w:bookmarkStart w:id="73"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3"/>
    <w:bookmarkStart w:id="75" w:name="trivy"/>
    <w:p>
      <w:pPr>
        <w:pStyle w:val="Heading2"/>
      </w:pPr>
      <w:r>
        <w:t xml:space="preserve">12.8 Trivy</w:t>
      </w:r>
    </w:p>
    <w:p>
      <w:pPr>
        <w:pStyle w:val="FirstParagraph"/>
      </w:pPr>
      <w:r>
        <w:t xml:space="preserve">Código, imagen, secreto y análisis de configuración.</w:t>
      </w:r>
    </w:p>
    <w:p>
      <w:pPr>
        <w:pStyle w:val="BodyText"/>
      </w:pPr>
      <w:r>
        <w:rPr>
          <w:b/>
          <w:bCs/>
        </w:rPr>
        <w:t xml:space="preserve">Documentación y configuración oficiales</w:t>
      </w:r>
      <w:r>
        <w:t xml:space="preserve"> </w:t>
      </w:r>
      <w:r>
        <w:t xml:space="preserve">Abra la guía oficial Trivy realizada/u título](https://trivy.dev/latest/)</w:t>
      </w:r>
    </w:p>
    <w:bookmarkStart w:id="74"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74"/>
    <w:bookmarkEnd w:id="75"/>
    <w:bookmarkStart w:id="76"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6"/>
    <w:bookmarkStart w:id="78" w:name="agente-de-política-abierta"/>
    <w:p>
      <w:pPr>
        <w:pStyle w:val="Heading2"/>
      </w:pPr>
      <w:r>
        <w:t xml:space="preserve">12.9 Agente de política abierta</w:t>
      </w:r>
    </w:p>
    <w:p>
      <w:pPr>
        <w:pStyle w:val="FirstParagraph"/>
      </w:pPr>
      <w:r>
        <w:t xml:space="preserve">Política como código.</w:t>
      </w:r>
    </w:p>
    <w:p>
      <w:pPr>
        <w:pStyle w:val="BodyText"/>
      </w:pPr>
      <w:r>
        <w:rPr>
          <w:b/>
          <w:bCs/>
        </w:rPr>
        <w:t xml:space="preserve">Documentación y configuración oficiales</w:t>
      </w:r>
      <w:r>
        <w:t xml:space="preserve"> </w:t>
      </w:r>
      <w:r>
        <w:t xml:space="preserve">Abra la guía oficial de Agentes de Política Abierta(https://www.openpolicyagent.org/docs)</w:t>
      </w:r>
    </w:p>
    <w:bookmarkStart w:id="77"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77"/>
    <w:bookmarkEnd w:id="78"/>
    <w:bookmarkStart w:id="79"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9"/>
    <w:bookmarkStart w:id="81" w:name="klaro"/>
    <w:p>
      <w:pPr>
        <w:pStyle w:val="Heading2"/>
      </w:pPr>
      <w:r>
        <w:t xml:space="preserve">12.10 Klaro!</w:t>
      </w:r>
    </w:p>
    <w:p>
      <w:pPr>
        <w:pStyle w:val="FirstParagraph"/>
      </w:pPr>
      <w:r>
        <w:t xml:space="preserve">Soporte de interfaz de consentimiento.</w:t>
      </w:r>
    </w:p>
    <w:p>
      <w:pPr>
        <w:pStyle w:val="BodyText"/>
      </w:pPr>
      <w:r>
        <w:rPr>
          <w:b/>
          <w:bCs/>
        </w:rPr>
        <w:t xml:space="preserve">Documentación y configuración oficiales</w:t>
      </w:r>
      <w:r>
        <w:t xml:space="preserve"> </w:t>
      </w:r>
      <w:r>
        <w:t xml:space="preserve">Abrir la guía oficial Klaro!</w:t>
      </w:r>
    </w:p>
    <w:bookmarkStart w:id="80"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80"/>
    <w:bookmarkEnd w:id="81"/>
    <w:bookmarkStart w:id="82"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2"/>
    <w:bookmarkStart w:id="84" w:name="greenbone-community-edition"/>
    <w:p>
      <w:pPr>
        <w:pStyle w:val="Heading2"/>
      </w:pPr>
      <w:r>
        <w:t xml:space="preserve">12.11 Greenbone Community Edition</w:t>
      </w:r>
    </w:p>
    <w:p>
      <w:pPr>
        <w:pStyle w:val="FirstParagraph"/>
      </w:pPr>
      <w:r>
        <w:t xml:space="preserve">Escaneo de vulnerabilidad.</w:t>
      </w:r>
    </w:p>
    <w:p>
      <w:pPr>
        <w:pStyle w:val="BodyText"/>
      </w:pPr>
      <w:r>
        <w:rPr>
          <w:b/>
          <w:bCs/>
        </w:rPr>
        <w:t xml:space="preserve">Documentación y configuración oficiales:</w:t>
      </w:r>
      <w:r>
        <w:t xml:space="preserve"> </w:t>
      </w:r>
      <w:r>
        <w:t xml:space="preserve">[Seguridad]Abre la guía oficial Greenbone Community Edition realizada/u contactos](https://greenbone.github.io/docs/latest/)</w:t>
      </w:r>
    </w:p>
    <w:bookmarkStart w:id="83"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83"/>
    <w:bookmarkEnd w:id="84"/>
    <w:bookmarkStart w:id="85"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5"/>
    <w:bookmarkStart w:id="86"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86"/>
    <w:bookmarkEnd w:id="87"/>
    <w:bookmarkStart w:id="92" w:name="Xc1ec02c0f8768940d94445795a69303e65bfa9e"/>
    <w:p>
      <w:pPr>
        <w:pStyle w:val="Heading1"/>
      </w:pPr>
      <w:r>
        <w:t xml:space="preserve">13. Laboratorio de SaaS Ficcional y Portfolio</w:t>
      </w:r>
    </w:p>
    <w:p>
      <w:pPr>
        <w:pStyle w:val="FirstParagraph"/>
      </w:pPr>
      <w:r>
        <w:rPr>
          <w:i/>
          <w:iCs/>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88"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88"/>
    <w:bookmarkStart w:id="89"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89"/>
    <w:bookmarkStart w:id="90"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90"/>
    <w:bookmarkStart w:id="91"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91"/>
    <w:bookmarkEnd w:id="92"/>
    <w:bookmarkStart w:id="104" w:name="plan-de-aprendizaje-de-30-días"/>
    <w:p>
      <w:pPr>
        <w:pStyle w:val="Heading1"/>
      </w:pPr>
      <w:r>
        <w:t xml:space="preserve">14. Plan de aprendizaje de 30 días</w:t>
      </w:r>
    </w:p>
    <w:p>
      <w:pPr>
        <w:pStyle w:val="FirstParagraph"/>
      </w:pPr>
      <w:r>
        <w:rPr>
          <w:i/>
          <w:iCs/>
        </w:rPr>
        <w:t xml:space="preserve">Un mes realista de estudio, práctica, trabajo de cartera y preparación de entrevistas.</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Week</w:t>
            </w:r>
          </w:p>
        </w:tc>
      </w:tr>
      <w:tr>
        <w:tc>
          <w:tcPr/>
          <w:p>
            <w:pPr>
              <w:pStyle w:val="Compac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93"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 la cartera.</w:t>
      </w:r>
    </w:p>
    <w:p>
      <w:pPr>
        <w:numPr>
          <w:ilvl w:val="0"/>
          <w:numId w:val="1016"/>
        </w:numPr>
      </w:pPr>
      <w:r>
        <w:t xml:space="preserve">Preparación de entrevistas</w:t>
      </w:r>
    </w:p>
    <w:p>
      <w:pPr>
        <w:pStyle w:val="FirstParagraph"/>
      </w:pPr>
      <w:r>
        <w:rPr>
          <w:i/>
          <w:iCs/>
        </w:rPr>
        <w:t xml:space="preserve">Preguntas y respuestas cortas para analistas y administradores junior</w:t>
      </w:r>
      <w:r>
        <w:t xml:space="preserve">.</w:t>
      </w:r>
    </w:p>
    <w:bookmarkEnd w:id="93"/>
    <w:bookmarkStart w:id="94"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94"/>
    <w:bookmarkStart w:id="95"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95"/>
    <w:bookmarkStart w:id="96"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96"/>
    <w:bookmarkStart w:id="97"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97"/>
    <w:bookmarkStart w:id="98"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98"/>
    <w:bookmarkStart w:id="99"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99"/>
    <w:bookmarkStart w:id="100"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00"/>
    <w:bookmarkStart w:id="101"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01"/>
    <w:bookmarkStart w:id="102"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02"/>
    <w:bookmarkStart w:id="103" w:name="X7b79c52f5596d92db90439bb8138b84f290985c"/>
    <w:p>
      <w:pPr>
        <w:pStyle w:val="Heading2"/>
      </w:pPr>
      <w:r>
        <w:t xml:space="preserve">15.1 Respuesta del administrador de 60 segundos</w:t>
      </w:r>
    </w:p>
    <w:p>
      <w:pPr>
        <w:pStyle w:val="FirstParagraph"/>
      </w:pPr>
      <w:r>
        <w:rPr>
          <w:b/>
          <w:bCs/>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03"/>
    <w:bookmarkEnd w:id="104"/>
    <w:bookmarkStart w:id="110" w:name="plantillas-y-listas-de-verificación"/>
    <w:p>
      <w:pPr>
        <w:pStyle w:val="Heading1"/>
      </w:pPr>
      <w:r>
        <w:t xml:space="preserve">16. Plantillas y listas de verificación</w:t>
      </w:r>
    </w:p>
    <w:p>
      <w:pPr>
        <w:pStyle w:val="Compact"/>
        <w:numPr>
          <w:ilvl w:val="0"/>
          <w:numId w:val="1017"/>
        </w:numPr>
      </w:pPr>
      <w:r>
        <w:t xml:space="preserve">Estructuras prácticas para copiar en un sistema de organización aprobado*.</w:t>
      </w:r>
    </w:p>
    <w:bookmarkStart w:id="105"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05"/>
    <w:bookmarkStart w:id="106"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06"/>
    <w:bookmarkStart w:id="107"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07"/>
    <w:bookmarkStart w:id="108" w:name="breach-fact-sheet"/>
    <w:p>
      <w:pPr>
        <w:pStyle w:val="Heading2"/>
      </w:pPr>
      <w:r>
        <w:t xml:space="preserve">16.4 Breach fact sheet</w:t>
      </w:r>
    </w:p>
    <w:p>
      <w:pPr>
        <w:pStyle w:val="FirstParagraph"/>
      </w:pPr>
      <w:r>
        <w:rPr>
          <w:b/>
          <w:bCs/>
        </w:rPr>
        <w:t xml:space="preserve">Field</w:t>
      </w:r>
      <w:r>
        <w:t xml:space="preserve"> </w:t>
      </w:r>
      <w:r>
        <w:t xml:space="preserve">|</w:t>
      </w:r>
      <w:r>
        <w:t xml:space="preserve"> </w:t>
      </w:r>
      <w:r>
        <w:rPr>
          <w:b/>
          <w:bCs/>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08"/>
    <w:bookmarkStart w:id="109" w:name="manager-pre-launch-checklist"/>
    <w:p>
      <w:pPr>
        <w:pStyle w:val="Heading2"/>
      </w:pPr>
      <w:r>
        <w:t xml:space="preserve">16,5 Manager pre-launch checklist</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09"/>
    <w:bookmarkEnd w:id="110"/>
    <w:bookmarkStart w:id="112" w:name="gdpr-ai-y-analytics"/>
    <w:p>
      <w:pPr>
        <w:pStyle w:val="Heading1"/>
      </w:pPr>
      <w:r>
        <w:t xml:space="preserve">17. GDPR, AI y Analytics</w:t>
      </w:r>
    </w:p>
    <w:p>
      <w:pPr>
        <w:pStyle w:val="FirstParagraph"/>
      </w:pPr>
      <w:r>
        <w:rPr>
          <w:i/>
          <w:iCs/>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11"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
          <w:bCs/>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11"/>
    <w:bookmarkEnd w:id="112"/>
    <w:bookmarkStart w:id="113" w:name="glosario"/>
    <w:p>
      <w:pPr>
        <w:pStyle w:val="Heading1"/>
      </w:pPr>
      <w:r>
        <w:t xml:space="preserve">18. Glosario</w:t>
      </w:r>
    </w:p>
    <w:p>
      <w:pPr>
        <w:pStyle w:val="FirstParagraph"/>
      </w:pPr>
      <w:r>
        <w:rPr>
          <w:i/>
          <w:iCs/>
        </w:rPr>
        <w:t xml:space="preserve">Definiciones en inglés de GDPR importantes y términos de privacidad.</w:t>
      </w:r>
    </w:p>
    <w:p>
      <w:pPr>
        <w:pStyle w:val="BodyText"/>
      </w:pPr>
      <w:r>
        <w:rPr>
          <w:b/>
          <w:bCs/>
        </w:rPr>
        <w:t xml:space="preserve">Cuentabilidad.</w:t>
      </w:r>
      <w:r>
        <w:t xml:space="preserve"> </w:t>
      </w:r>
      <w:r>
        <w:t xml:space="preserve">El deber de cumplir y ser capaz de demostrar el cumplimiento.</w:t>
      </w:r>
    </w:p>
    <w:p>
      <w:pPr>
        <w:pStyle w:val="BodyText"/>
      </w:pPr>
      <w:r>
        <w:rPr>
          <w:i/>
          <w:iCs/>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
          <w:bCs/>
        </w:rPr>
        <w:t xml:space="preserve">Binding corporate rules.</w:t>
      </w:r>
      <w:r>
        <w:t xml:space="preserve"> </w:t>
      </w:r>
      <w:r>
        <w:t xml:space="preserve">Reglas de transferencia interna aprobadas para grupos de empresas.</w:t>
      </w:r>
    </w:p>
    <w:p>
      <w:pPr>
        <w:pStyle w:val="BodyText"/>
      </w:pPr>
      <w:r>
        <w:rPr>
          <w:b/>
          <w:bCs/>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
          <w:bCs/>
        </w:rPr>
        <w:t xml:space="preserve">EDPB.</w:t>
      </w:r>
      <w:r>
        <w:t xml:space="preserve"> </w:t>
      </w:r>
      <w:r>
        <w:t xml:space="preserve">La Junta Europea de Protección de Datos.</w:t>
      </w:r>
    </w:p>
    <w:p>
      <w:pPr>
        <w:pStyle w:val="BodyText"/>
      </w:pPr>
      <w:r>
        <w:rPr>
          <w:b/>
          <w:bCs/>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
          <w:iCs/>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
          <w:bCs/>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
          <w:bCs/>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
          <w:bCs/>
        </w:rPr>
        <w:t xml:space="preserve">ROPA.</w:t>
      </w:r>
      <w:r>
        <w:t xml:space="preserve"> </w:t>
      </w:r>
      <w:r>
        <w:t xml:space="preserve">Record of processing activities under Article 30.</w:t>
      </w:r>
    </w:p>
    <w:p>
      <w:pPr>
        <w:pStyle w:val="BodyText"/>
      </w:pPr>
      <w:r>
        <w:rPr>
          <w:b/>
          <w:bCs/>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13"/>
    <w:bookmarkStart w:id="114" w:name="índice-de-asunto"/>
    <w:p>
      <w:pPr>
        <w:pStyle w:val="Heading1"/>
      </w:pPr>
      <w:r>
        <w:t xml:space="preserve">19. Índice de asunto</w:t>
      </w:r>
    </w:p>
    <w:p>
      <w:pPr>
        <w:pStyle w:val="FirstParagraph"/>
      </w:pPr>
      <w:r>
        <w:rPr>
          <w:i/>
          <w:iCs/>
        </w:rPr>
        <w:t xml:space="preserve">Una guía alfabética para los principales temas. Referencias apuntan a secciones para que el índice siga siendo útil después de la edición.</w:t>
      </w:r>
    </w:p>
    <w:p>
      <w:pPr>
        <w:pStyle w:val="Compact"/>
        <w:numPr>
          <w:ilvl w:val="0"/>
          <w:numId w:val="1023"/>
        </w:numPr>
      </w:pPr>
      <w:r>
        <w:t xml:space="preserve">Tema*</w:t>
      </w:r>
      <w:r>
        <w:t xml:space="preserve"> </w:t>
      </w:r>
      <w:r>
        <w:rPr>
          <w:i/>
          <w:iCs/>
        </w:rPr>
        <w:t xml:space="preserve">Tema</w:t>
      </w:r>
      <w:r>
        <w:t xml:space="preserve"> </w:t>
      </w:r>
      <w:r>
        <w:t xml:space="preserve">*Las secciones**</w:t>
      </w:r>
      <w:r>
        <w:t xml:space="preserve"> </w:t>
      </w:r>
      <w:r>
        <w:rPr>
          <w:i/>
          <w:iCs/>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14"/>
    <w:bookmarkStart w:id="129" w:name="referencias-oficiales-y-estudio-ulterior"/>
    <w:p>
      <w:pPr>
        <w:pStyle w:val="Heading1"/>
      </w:pPr>
      <w:r>
        <w:t xml:space="preserve">20. Referencias oficiales y estudio ulterior</w:t>
      </w:r>
    </w:p>
    <w:p>
      <w:pPr>
        <w:pStyle w:val="FirstParagraph"/>
      </w:pPr>
      <w:r>
        <w:rPr>
          <w:i/>
          <w:iCs/>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15">
        <w:r>
          <w:rPr>
            <w:rStyle w:val="Hyperlink"/>
          </w:rPr>
          <w:t xml:space="preserve">Según el resumen GDPR actualizado Marzo 2026 interpretado/u fieltro</w:t>
        </w:r>
      </w:hyperlink>
    </w:p>
    <w:p>
      <w:pPr>
        <w:pStyle w:val="BodyText"/>
      </w:pPr>
      <w:hyperlink r:id="rId116">
        <w:r>
          <w:rPr>
            <w:rStyle w:val="Hyperlink"/>
          </w:rPr>
          <w:t xml:space="preserve">Seguido</w:t>
        </w:r>
      </w:hyperlink>
    </w:p>
    <w:p>
      <w:pPr>
        <w:pStyle w:val="BodyText"/>
      </w:pPr>
      <w:hyperlink r:id="rId117">
        <w:r>
          <w:rPr>
            <w:rStyle w:val="Hyperlink"/>
          </w:rPr>
          <w:t xml:space="preserve">Se indica</w:t>
        </w:r>
      </w:hyperlink>
    </w:p>
    <w:p>
      <w:pPr>
        <w:pStyle w:val="BodyText"/>
      </w:pPr>
      <w:hyperlink r:id="rId118">
        <w:r>
          <w:rPr>
            <w:rStyle w:val="Hyperlink"/>
          </w:rPr>
          <w:t xml:space="preserve">Notificación de incumplimiento</w:t>
        </w:r>
      </w:hyperlink>
    </w:p>
    <w:p>
      <w:pPr>
        <w:pStyle w:val="BodyText"/>
      </w:pPr>
      <w:hyperlink r:id="rId119">
        <w:r>
          <w:rPr>
            <w:rStyle w:val="Hyperlink"/>
          </w:rPr>
          <w:t xml:space="preserve">Según datos</w:t>
        </w:r>
      </w:hyperlink>
    </w:p>
    <w:p>
      <w:pPr>
        <w:pStyle w:val="BodyText"/>
      </w:pPr>
      <w:hyperlink r:id="rId120">
        <w:r>
          <w:rPr>
            <w:rStyle w:val="Hyperlink"/>
          </w:rPr>
          <w:t xml:space="preserve">Sección Europea</w:t>
        </w:r>
      </w:hyperlink>
    </w:p>
    <w:p>
      <w:pPr>
        <w:pStyle w:val="BodyText"/>
      </w:pPr>
      <w:hyperlink r:id="rId121">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22">
        <w:r>
          <w:rPr>
            <w:rStyle w:val="Hyperlink"/>
          </w:rPr>
          <w:t xml:space="preserve">Se indica</w:t>
        </w:r>
      </w:hyperlink>
    </w:p>
    <w:p>
      <w:pPr>
        <w:pStyle w:val="BodyText"/>
      </w:pPr>
      <w:hyperlink r:id="rId123">
        <w:r>
          <w:rPr>
            <w:rStyle w:val="Hyperlink"/>
          </w:rPr>
          <w:t xml:space="preserve">Se indica</w:t>
        </w:r>
      </w:hyperlink>
    </w:p>
    <w:p>
      <w:pPr>
        <w:pStyle w:val="BodyText"/>
      </w:pPr>
      <w:hyperlink r:id="rId124">
        <w:r>
          <w:rPr>
            <w:rStyle w:val="Hyperlink"/>
          </w:rPr>
          <w:t xml:space="preserve">Se indica</w:t>
        </w:r>
      </w:hyperlink>
    </w:p>
    <w:p>
      <w:pPr>
        <w:pStyle w:val="BodyText"/>
      </w:pPr>
      <w:hyperlink r:id="rId125">
        <w:r>
          <w:rPr>
            <w:rStyle w:val="Hyperlink"/>
          </w:rPr>
          <w:t xml:space="preserve">Se indica</w:t>
        </w:r>
      </w:hyperlink>
    </w:p>
    <w:p>
      <w:pPr>
        <w:pStyle w:val="BodyText"/>
      </w:pPr>
      <w:hyperlink r:id="rId126">
        <w:r>
          <w:rPr>
            <w:rStyle w:val="Hyperlink"/>
          </w:rPr>
          <w:t xml:space="preserve">Se indica</w:t>
        </w:r>
      </w:hyperlink>
    </w:p>
    <w:p>
      <w:pPr>
        <w:pStyle w:val="BodyText"/>
      </w:pPr>
      <w:hyperlink r:id="rId127">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28">
        <w:r>
          <w:rPr>
            <w:rStyle w:val="Hyperlink"/>
          </w:rPr>
          <w:t xml:space="preserve">Se indica</w:t>
        </w:r>
      </w:hyperlink>
    </w:p>
    <w:p>
      <w:pPr>
        <w:pStyle w:val="BodyText"/>
      </w:pPr>
      <w:r>
        <w:rPr>
          <w:b/>
          <w:bCs/>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3" Target="https://arx.deidentifier.org/anonymization-tool/" TargetMode="External" /><Relationship Type="http://schemas.openxmlformats.org/officeDocument/2006/relationships/hyperlink" Id="rId121" Target="https://commission.europa.eu/law/law-topic/data-protection/international-dimension-data-protection/adequacy-decisions_en" TargetMode="External" /><Relationship Type="http://schemas.openxmlformats.org/officeDocument/2006/relationships/hyperlink" Id="rId120" Target="https://commission.europa.eu/law/law-topic/data-protection/international-dimension-data-protection/standard-contractual-clauses-scc_en" TargetMode="External" /><Relationship Type="http://schemas.openxmlformats.org/officeDocument/2006/relationships/hyperlink" Id="rId119" Target="https://commission.europa.eu/law/law-topic/data-protection_en" TargetMode="External" /><Relationship Type="http://schemas.openxmlformats.org/officeDocument/2006/relationships/hyperlink" Id="rId125" Target="https://documentation.wazuh.com/current/quickstart.html" TargetMode="External" /><Relationship Type="http://schemas.openxmlformats.org/officeDocument/2006/relationships/hyperlink" Id="rId115" Target="https://eur-lex.europa.eu/EN/legal-content/summary/general-data-protection-regulation-gdpr.html" TargetMode="External" /><Relationship Type="http://schemas.openxmlformats.org/officeDocument/2006/relationships/hyperlink" Id="rId128" Target="https://greenbone.github.io/docs/latest/" TargetMode="External" /><Relationship Type="http://schemas.openxmlformats.org/officeDocument/2006/relationships/hyperlink" Id="rId122" Target="https://microsoft.github.io/presidio/" TargetMode="External" /><Relationship Type="http://schemas.openxmlformats.org/officeDocument/2006/relationships/hyperlink" Id="rId127" Target="https://trivy.dev/latest/" TargetMode="External" /><Relationship Type="http://schemas.openxmlformats.org/officeDocument/2006/relationships/hyperlink" Id="rId116" Target="https://www.edpb.europa.eu/edpb_en" TargetMode="External" /><Relationship Type="http://schemas.openxmlformats.org/officeDocument/2006/relationships/hyperlink" Id="rId118" Target="https://www.edpb.europa.eu/our-work-tools/our-documents/guidelines/guidelines-92022-personal-data-breach-notification-under_en" TargetMode="External" /><Relationship Type="http://schemas.openxmlformats.org/officeDocument/2006/relationships/hyperlink" Id="rId117" Target="https://www.edpb.europa.eu/sme-data-protection-guide/home_en" TargetMode="External" /><Relationship Type="http://schemas.openxmlformats.org/officeDocument/2006/relationships/hyperlink" Id="rId124" Target="https://www.keycloak.org/guide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23" Target="https://arx.deidentifier.org/anonymization-tool/" TargetMode="External" /><Relationship Type="http://schemas.openxmlformats.org/officeDocument/2006/relationships/hyperlink" Id="rId121" Target="https://commission.europa.eu/law/law-topic/data-protection/international-dimension-data-protection/adequacy-decisions_en" TargetMode="External" /><Relationship Type="http://schemas.openxmlformats.org/officeDocument/2006/relationships/hyperlink" Id="rId120" Target="https://commission.europa.eu/law/law-topic/data-protection/international-dimension-data-protection/standard-contractual-clauses-scc_en" TargetMode="External" /><Relationship Type="http://schemas.openxmlformats.org/officeDocument/2006/relationships/hyperlink" Id="rId119" Target="https://commission.europa.eu/law/law-topic/data-protection_en" TargetMode="External" /><Relationship Type="http://schemas.openxmlformats.org/officeDocument/2006/relationships/hyperlink" Id="rId125" Target="https://documentation.wazuh.com/current/quickstart.html" TargetMode="External" /><Relationship Type="http://schemas.openxmlformats.org/officeDocument/2006/relationships/hyperlink" Id="rId115" Target="https://eur-lex.europa.eu/EN/legal-content/summary/general-data-protection-regulation-gdpr.html" TargetMode="External" /><Relationship Type="http://schemas.openxmlformats.org/officeDocument/2006/relationships/hyperlink" Id="rId128" Target="https://greenbone.github.io/docs/latest/" TargetMode="External" /><Relationship Type="http://schemas.openxmlformats.org/officeDocument/2006/relationships/hyperlink" Id="rId122" Target="https://microsoft.github.io/presidio/" TargetMode="External" /><Relationship Type="http://schemas.openxmlformats.org/officeDocument/2006/relationships/hyperlink" Id="rId127" Target="https://trivy.dev/latest/" TargetMode="External" /><Relationship Type="http://schemas.openxmlformats.org/officeDocument/2006/relationships/hyperlink" Id="rId116" Target="https://www.edpb.europa.eu/edpb_en" TargetMode="External" /><Relationship Type="http://schemas.openxmlformats.org/officeDocument/2006/relationships/hyperlink" Id="rId118" Target="https://www.edpb.europa.eu/our-work-tools/our-documents/guidelines/guidelines-92022-personal-data-breach-notification-under_en" TargetMode="External" /><Relationship Type="http://schemas.openxmlformats.org/officeDocument/2006/relationships/hyperlink" Id="rId117" Target="https://www.edpb.europa.eu/sme-data-protection-guide/home_en" TargetMode="External" /><Relationship Type="http://schemas.openxmlformats.org/officeDocument/2006/relationships/hyperlink" Id="rId124" Target="https://www.keycloak.org/guide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2026-07-28T18:38:50Z</dcterms:created>
  <dcterms:modified xsi:type="dcterms:W3CDTF">2026-07-28T18:38:50Z</dcterms:modified>
</cp:coreProperties>
</file>

<file path=docProps/custom.xml><?xml version="1.0" encoding="utf-8"?>
<Properties xmlns="http://schemas.openxmlformats.org/officeDocument/2006/custom-properties" xmlns:vt="http://schemas.openxmlformats.org/officeDocument/2006/docPropsVTypes"/>
</file>