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
          <w:bCs/>
        </w:rPr>
        <w:t xml:space="preserve">CYBERSECURITY, PRIVACY &amp; COMPLIANCE SERIES</w:t>
      </w:r>
    </w:p>
    <w:p>
      <w:pPr>
        <w:pStyle w:val="BodyText"/>
      </w:pPr>
      <w:r>
        <w:rPr>
          <w:b/>
          <w:bCs/>
        </w:rPr>
        <w:t xml:space="preserve">PCI DSS v4.0.1</w:t>
      </w:r>
    </w:p>
    <w:p>
      <w:pPr>
        <w:pStyle w:val="BodyText"/>
      </w:pPr>
      <w:r>
        <w:t xml:space="preserve">** Seguridad del pago práctico, verificación del cumplimiento y herramientas de código abierto**</w:t>
      </w:r>
    </w:p>
    <w:p>
      <w:pPr>
        <w:pStyle w:val="BodyText"/>
      </w:pPr>
      <w:r>
        <w:rPr>
          <w:i/>
          <w:iCs/>
        </w:rPr>
        <w:t xml:space="preserve">Un manual de trabajo para administradores, analistas juniores, estudiantes, cambiadores de carrera, comerciantes y proveedores de servicios</w:t>
      </w:r>
    </w:p>
    <w:p>
      <w:pPr>
        <w:pStyle w:val="BodyText"/>
      </w:pPr>
      <w:r>
        <w:rPr>
          <w:b/>
          <w:bCs/>
        </w:rPr>
        <w:t xml:space="preserve">Alberto (Al) Leiva</w:t>
      </w:r>
    </w:p>
    <w:p>
      <w:pPr>
        <w:pStyle w:val="BodyText"/>
      </w:pPr>
      <w:r>
        <w:t xml:space="preserve">Primera edición • Julio 2026</w:t>
      </w:r>
    </w:p>
    <w:p>
      <w:pPr>
        <w:pStyle w:val="BodyText"/>
      </w:pPr>
      <w:r>
        <w:rPr>
          <w:b/>
          <w:bCs/>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1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9"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9"/>
    <w:bookmarkStart w:id="10"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10"/>
    <w:bookmarkEnd w:id="11"/>
    <w:bookmarkStart w:id="12" w:name="prefacio"/>
    <w:p>
      <w:pPr>
        <w:pStyle w:val="Heading1"/>
      </w:pPr>
      <w:r>
        <w:t xml:space="preserve">Prefacio</w:t>
      </w:r>
    </w:p>
    <w:p>
      <w:pPr>
        <w:pStyle w:val="FirstParagraph"/>
      </w:pPr>
      <w:r>
        <w:rPr>
          <w:i/>
          <w:iCs/>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12"/>
    <w:bookmarkStart w:id="1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juegos PCI DSS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Dashboard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13"/>
    <w:bookmarkStart w:id="20" w:name="pci-dss-v4.0.1-fundaciones"/>
    <w:p>
      <w:pPr>
        <w:pStyle w:val="Heading1"/>
      </w:pPr>
      <w:r>
        <w:t xml:space="preserve">1. PCI DSS v4.0.1 Fundaciones</w:t>
      </w:r>
    </w:p>
    <w:p>
      <w:pPr>
        <w:pStyle w:val="FirstParagraph"/>
      </w:pPr>
      <w:r>
        <w:rPr>
          <w:i/>
          <w:iCs/>
        </w:rPr>
        <w:t xml:space="preserve">El estándar actual, aplicabilidad, metas y limitaciones importantes</w:t>
      </w:r>
      <w:r>
        <w:t xml:space="preserve">.</w:t>
      </w:r>
    </w:p>
    <w:p>
      <w:pPr>
        <w:pStyle w:val="BodyText"/>
      </w:pPr>
      <w:r>
        <w:t xml:space="preserve">■img src=</w:t>
      </w:r>
      <w:r>
        <w:t xml:space="preserve">“media/image1.png”</w:t>
      </w:r>
      <w:r>
        <w:t xml:space="preserve"> </w:t>
      </w:r>
      <w:r>
        <w:t xml:space="preserve">estilo=</w:t>
      </w:r>
      <w:r>
        <w:t xml:space="preserve">“width:6.15in;height:3.94164in”</w:t>
      </w:r>
      <w:r>
        <w:t xml:space="preserve"> </w:t>
      </w:r>
      <w:r>
        <w:t xml:space="preserve">alt=</w:t>
      </w:r>
      <w:r>
        <w:t xml:space="preserve">“La seguridad del pago combina la red, el sistema, los datos, la identidad, física, el monitoreo, las pruebas y los controles de gobernanza”</w:t>
      </w:r>
      <w:r>
        <w:t xml:space="preserve">.</w:t>
      </w:r>
    </w:p>
    <w:p>
      <w:pPr>
        <w:pStyle w:val="BodyText"/>
      </w:pPr>
      <w:r>
        <w:t xml:space="preserve">Figura 1. Los doce requisitos de PCI DSS</w:t>
      </w:r>
    </w:p>
    <w:bookmarkStart w:id="14"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14"/>
    <w:bookmarkStart w:id="15"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15"/>
    <w:bookmarkStart w:id="16" w:name="los-seis-objetivos-de-control"/>
    <w:p>
      <w:pPr>
        <w:pStyle w:val="Heading2"/>
      </w:pPr>
      <w:r>
        <w:t xml:space="preserve">1.3 Los seis objetivos de control</w:t>
      </w:r>
    </w:p>
    <w:p>
      <w:pPr>
        <w:pStyle w:val="FirstParagraph"/>
      </w:pPr>
      <w:r>
        <w:t xml:space="preserve">** Objetivo** Silencioso</w:t>
      </w:r>
      <w:r>
        <w:t xml:space="preserve"> </w:t>
      </w:r>
      <w:r>
        <w:rPr>
          <w:b/>
          <w:bCs/>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pStyle w:val="Compact"/>
        <w:numPr>
          <w:ilvl w:val="0"/>
          <w:numId w:val="1002"/>
        </w:numPr>
      </w:pPr>
      <w:r>
        <w:t xml:space="preserve">Normas de datos y protección de la cuenta</w:t>
      </w:r>
    </w:p>
    <w:p>
      <w:pPr>
        <w:pStyle w:val="FirstParagraph"/>
      </w:pPr>
      <w:r>
        <w:rPr>
          <w:i/>
          <w:iCs/>
        </w:rPr>
        <w:t xml:space="preserve">La diferencia entre los datos de los titulares de tarjetas, el PAN y los datos de autenticación sensibles.</w:t>
      </w:r>
    </w:p>
    <w:p>
      <w:pPr>
        <w:pStyle w:val="BodyText"/>
      </w:pPr>
      <w:r>
        <w:t xml:space="preserve">■img src=</w:t>
      </w:r>
      <w:r>
        <w:t xml:space="preserve">“media/image2.png”</w:t>
      </w:r>
      <w:r>
        <w:t xml:space="preserve"> </w:t>
      </w:r>
      <w:r>
        <w:t xml:space="preserve">estilo=</w:t>
      </w:r>
      <w:r>
        <w:t xml:space="preserve">“width:6.15in;height:2.98845in”</w:t>
      </w:r>
      <w:r>
        <w:t xml:space="preserve"> </w:t>
      </w:r>
      <w:r>
        <w:t xml:space="preserve">alt=</w:t>
      </w:r>
      <w:r>
        <w:t xml:space="preserve">“PAN es central para la aplicabilidad; los datos de autenticación sensible reciben un tratamiento de postautorización más estricto.”</w:t>
      </w:r>
      <w:r>
        <w:t xml:space="preserve"> </w:t>
      </w:r>
      <w:r>
        <w:t xml:space="preserve">/</w:t>
      </w:r>
    </w:p>
    <w:p>
      <w:pPr>
        <w:pStyle w:val="BodyText"/>
      </w:pPr>
      <w:r>
        <w:t xml:space="preserve">Cuadro 2</w:t>
      </w:r>
    </w:p>
    <w:p>
      <w:pPr>
        <w:pStyle w:val="BodyText"/>
      </w:pPr>
      <w:r>
        <w:rPr>
          <w:b/>
          <w:bCs/>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16"/>
    <w:bookmarkStart w:id="17"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
          <w:bCs/>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pStyle w:val="Compact"/>
        <w:numPr>
          <w:ilvl w:val="0"/>
          <w:numId w:val="1004"/>
        </w:numPr>
      </w:pPr>
      <w:r>
        <w:t xml:space="preserve">Alcance, ECM y Segmentación</w:t>
      </w:r>
    </w:p>
    <w:p>
      <w:pPr>
        <w:pStyle w:val="FirstParagraph"/>
      </w:pPr>
      <w:r>
        <w:rPr>
          <w:i/>
          <w:iCs/>
        </w:rPr>
        <w:t xml:space="preserve">Cómo encontrar a cada persona, proceso, tecnología y dependencia que pertenece a su alcance</w:t>
      </w:r>
      <w:r>
        <w:t xml:space="preserve">.</w:t>
      </w:r>
    </w:p>
    <w:p>
      <w:pPr>
        <w:pStyle w:val="BodyText"/>
      </w:pPr>
      <w:r>
        <w:t xml:space="preserve">“A la altura: 2.99322in”</w:t>
      </w:r>
      <w:r>
        <w:t xml:space="preserve"> </w:t>
      </w:r>
      <w:r>
        <w:t xml:space="preserve">alt=</w:t>
      </w:r>
      <w:r>
        <w:t xml:space="preserve">“Comenzar con flujos de cuenta-datos e incluyen sistemas conectados a los sistemas de impacto de seguridad y seguridad.”</w:t>
      </w:r>
      <w:r>
        <w:t xml:space="preserve"> </w:t>
      </w:r>
      <w:r>
        <w:t xml:space="preserve">/ Confeccionista</w:t>
      </w:r>
    </w:p>
    <w:p>
      <w:pPr>
        <w:pStyle w:val="BodyText"/>
      </w:pPr>
      <w:r>
        <w:t xml:space="preserve">Figura 3. Flujo de análisis de PCI DSS</w:t>
      </w:r>
    </w:p>
    <w:bookmarkEnd w:id="17"/>
    <w:bookmarkStart w:id="18"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“media/image4.png”</w:t>
      </w:r>
      <w:r>
        <w:t xml:space="preserve"> </w:t>
      </w:r>
      <w:r>
        <w:t xml:space="preserve">style=</w:t>
      </w:r>
      <w:r>
        <w:t xml:space="preserve">“width:6.15in;height:2.92173in”</w:t>
      </w:r>
      <w:r>
        <w:t xml:space="preserve"> </w:t>
      </w:r>
      <w:r>
        <w:t xml:space="preserve">alt=</w:t>
      </w:r>
      <w:r>
        <w:t xml:space="preserve">“Segmentation must be enforced, monitored, and testing before systems are treated as out of scope.”</w:t>
      </w:r>
      <w:r>
        <w:t xml:space="preserve"> </w:t>
      </w:r>
      <w:r>
        <w:t xml:space="preserve">/</w:t>
      </w:r>
    </w:p>
    <w:p>
      <w:pPr>
        <w:pStyle w:val="BodyText"/>
      </w:pPr>
      <w:r>
        <w:t xml:space="preserve">Figure 4. Segmentation and scope reduction</w:t>
      </w:r>
    </w:p>
    <w:bookmarkEnd w:id="18"/>
    <w:bookmarkStart w:id="19"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19"/>
    <w:bookmarkEnd w:id="20"/>
    <w:bookmarkStart w:id="21" w:name="validación-saqs-roc-aoc-y-rols"/>
    <w:p>
      <w:pPr>
        <w:pStyle w:val="Heading1"/>
      </w:pPr>
      <w:r>
        <w:t xml:space="preserve">4. Validación, SAQs, ROC, AOC y Rols</w:t>
      </w:r>
    </w:p>
    <w:p>
      <w:pPr>
        <w:pStyle w:val="FirstParagraph"/>
      </w:pPr>
      <w:r>
        <w:rPr>
          <w:i/>
          <w:iCs/>
        </w:rPr>
        <w:t xml:space="preserve">Eligiendo el camino correcto de presentación de informes y el entendimiento que lo acepta.</w:t>
      </w:r>
    </w:p>
    <w:p>
      <w:pPr>
        <w:pStyle w:val="BodyText"/>
      </w:pPr>
      <w:r>
        <w:rPr>
          <w:b/>
          <w:bCs/>
        </w:rPr>
        <w:t xml:space="preserve">Artifact or role</w:t>
      </w:r>
      <w:r>
        <w:t xml:space="preserve"> </w:t>
      </w:r>
      <w:r>
        <w:t xml:space="preserve">|</w:t>
      </w:r>
      <w:r>
        <w:t xml:space="preserve"> </w:t>
      </w:r>
      <w:r>
        <w:rPr>
          <w:b/>
          <w:bCs/>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
          <w:bCs/>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pStyle w:val="Compact"/>
        <w:numPr>
          <w:ilvl w:val="0"/>
          <w:numId w:val="1006"/>
        </w:numPr>
      </w:pPr>
      <w:r>
        <w:t xml:space="preserve">Definidos, personalizados, compensatorios y enfoques de riesgo</w:t>
      </w:r>
    </w:p>
    <w:p>
      <w:pPr>
        <w:pStyle w:val="FirstParagraph"/>
      </w:pPr>
      <w:r>
        <w:rPr>
          <w:i/>
          <w:iCs/>
        </w:rPr>
        <w:t xml:space="preserve">Conseguir flexibilidad sin debilitar el objetivo del requisito</w:t>
      </w:r>
      <w:r>
        <w:t xml:space="preserve">.</w:t>
      </w:r>
    </w:p>
    <w:p>
      <w:pPr>
        <w:pStyle w:val="BodyText"/>
      </w:pPr>
      <w:r>
        <w:t xml:space="preserve">■img src=</w:t>
      </w:r>
      <w:r>
        <w:t xml:space="preserve">“media/image5.png”</w:t>
      </w:r>
      <w:r>
        <w:t xml:space="preserve"> </w:t>
      </w:r>
      <w:r>
        <w:t xml:space="preserve">estilo=</w:t>
      </w:r>
      <w:r>
        <w:t xml:space="preserve">“width:6.15in;height:3.06328in”</w:t>
      </w:r>
      <w:r>
        <w:t xml:space="preserve"> </w:t>
      </w:r>
      <w:r>
        <w:t xml:space="preserve">alt=</w:t>
      </w:r>
      <w:r>
        <w:t xml:space="preserve">“Ambos enfoques deben cumplir el objetivo del requisito y ser evaluables.”</w:t>
      </w:r>
      <w:r>
        <w:t xml:space="preserve"> </w:t>
      </w:r>
      <w:r>
        <w:t xml:space="preserve">/</w:t>
      </w:r>
    </w:p>
    <w:p>
      <w:pPr>
        <w:pStyle w:val="BodyText"/>
      </w:pPr>
      <w:r>
        <w:t xml:space="preserve">Gráfico 5 Enfoques definidos y personalizados</w:t>
      </w:r>
    </w:p>
    <w:p>
      <w:pPr>
        <w:pStyle w:val="BodyText"/>
      </w:pPr>
      <w:r>
        <w:rPr>
          <w:b/>
          <w:bCs/>
        </w:rPr>
        <w:t xml:space="preserve">Method</w:t>
      </w:r>
      <w:r>
        <w:t xml:space="preserve"> </w:t>
      </w:r>
      <w:r>
        <w:t xml:space="preserve">|</w:t>
      </w:r>
      <w:r>
        <w:t xml:space="preserve"> </w:t>
      </w:r>
      <w:r>
        <w:rPr>
          <w:b/>
          <w:bCs/>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21"/>
    <w:bookmarkStart w:id="22" w:name="Xf7527355aa3107c490879934512b03c61be5bdd"/>
    <w:p>
      <w:pPr>
        <w:pStyle w:val="Heading1"/>
      </w:pPr>
      <w:r>
        <w:t xml:space="preserve">6. Requisitos 1 - Controles de Seguridad de la Red</w:t>
      </w:r>
    </w:p>
    <w:p>
      <w:pPr>
        <w:pStyle w:val="FirstParagraph"/>
      </w:pPr>
      <w:r>
        <w:rPr>
          <w:i/>
          <w:iCs/>
        </w:rPr>
        <w:t xml:space="preserve">Install and Maintain Network Security Controls</w:t>
      </w:r>
    </w:p>
    <w:p>
      <w:pPr>
        <w:pStyle w:val="BodyText"/>
      </w:pPr>
      <w:r>
        <w:rPr>
          <w:b/>
          <w:bCs/>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1.1</w:t>
            </w:r>
          </w:p>
        </w:tc>
      </w:tr>
      <w:tr>
        <w:tc>
          <w:tcPr/>
          <w:p>
            <w:pPr>
              <w:pStyle w:val="Compact"/>
            </w:pPr>
            <w:r>
              <w:t xml:space="preserve">1.2</w:t>
            </w:r>
          </w:p>
        </w:tc>
      </w:tr>
      <w:tr>
        <w:tc>
          <w:tcPr/>
          <w:p>
            <w:pPr>
              <w:pStyle w:val="Compac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22"/>
    <w:bookmarkStart w:id="23" w:name="requisito-2---configuraciones-seguras"/>
    <w:p>
      <w:pPr>
        <w:pStyle w:val="Heading1"/>
      </w:pPr>
      <w:r>
        <w:t xml:space="preserve">7. Requisito 2 - Configuraciones seguras</w:t>
      </w:r>
    </w:p>
    <w:p>
      <w:pPr>
        <w:pStyle w:val="FirstParagraph"/>
      </w:pPr>
      <w:r>
        <w:rPr>
          <w:i/>
          <w:iCs/>
        </w:rPr>
        <w:t xml:space="preserve">Apply Secure Configurations to All System Components</w:t>
      </w:r>
    </w:p>
    <w:p>
      <w:pPr>
        <w:pStyle w:val="BodyText"/>
      </w:pPr>
      <w:r>
        <w:rPr>
          <w:b/>
          <w:bCs/>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tención 2.1</w:t>
            </w:r>
          </w:p>
        </w:tc>
      </w:tr>
      <w:tr>
        <w:tc>
          <w:tcPr/>
          <w:p>
            <w:pPr>
              <w:pStyle w:val="Compac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Compact"/>
        <w:numPr>
          <w:ilvl w:val="0"/>
          <w:numId w:val="1007"/>
        </w:numPr>
      </w:pPr>
      <w:r>
        <w:t xml:space="preserve">Requisitos 3 - Datos de la cuenta almacenada</w:t>
      </w:r>
    </w:p>
    <w:p>
      <w:pPr>
        <w:pStyle w:val="FirstParagraph"/>
      </w:pPr>
      <w:r>
        <w:rPr>
          <w:i/>
          <w:iCs/>
        </w:rPr>
        <w:t xml:space="preserve">Protect Stored Account Data</w:t>
      </w:r>
    </w:p>
    <w:p>
      <w:pPr>
        <w:pStyle w:val="BodyText"/>
      </w:pPr>
      <w:r>
        <w:rPr>
          <w:b/>
          <w:bCs/>
        </w:rPr>
        <w:t xml:space="preserve">Propósito de la solicitud:</w:t>
      </w:r>
      <w:r>
        <w:t xml:space="preserve"> </w:t>
      </w:r>
      <w:r>
        <w:t xml:space="preserve">Proteger los datos de la cuenta almacenada</w:t>
      </w:r>
      <w:r>
        <w:t xml:space="preserve"> </w:t>
      </w: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tención 3.1</w:t>
            </w:r>
          </w:p>
        </w:tc>
      </w:tr>
      <w:tr>
        <w:tc>
          <w:tcPr/>
          <w:p>
            <w:pPr>
              <w:pStyle w:val="Compact"/>
            </w:pPr>
            <w:r>
              <w:t xml:space="preserve">3.2</w:t>
            </w:r>
          </w:p>
        </w:tc>
      </w:tr>
      <w:tr>
        <w:tc>
          <w:tcPr/>
          <w:p>
            <w:pPr>
              <w:pStyle w:val="Compact"/>
            </w:pPr>
            <w:r>
              <w:t xml:space="preserve">tención 3.3</w:t>
            </w:r>
          </w:p>
        </w:tc>
      </w:tr>
      <w:tr>
        <w:tc>
          <w:tcPr/>
          <w:p>
            <w:pPr>
              <w:pStyle w:val="Compac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
          <w:iCs/>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23"/>
    <w:bookmarkStart w:id="24" w:name="requisement-4-transmission-cryptography"/>
    <w:p>
      <w:pPr>
        <w:pStyle w:val="Heading1"/>
      </w:pPr>
      <w:r>
        <w:t xml:space="preserve">9. Requisement 4 — Transmission Cryptography</w:t>
      </w:r>
    </w:p>
    <w:p>
      <w:pPr>
        <w:pStyle w:val="FirstParagraph"/>
      </w:pPr>
      <w:r>
        <w:rPr>
          <w:i/>
          <w:iCs/>
        </w:rPr>
        <w:t xml:space="preserve">Protect Cardholder Data with Strong Cryptography During Transmission Over Open, Public Networks</w:t>
      </w:r>
    </w:p>
    <w:p>
      <w:pPr>
        <w:pStyle w:val="BodyText"/>
      </w:pPr>
      <w:r>
        <w:rPr>
          <w:b/>
          <w:bCs/>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tención 4.1</w:t>
            </w:r>
          </w:p>
        </w:tc>
      </w:tr>
      <w:tr>
        <w:tc>
          <w:tcPr/>
          <w:p>
            <w:pPr>
              <w:pStyle w:val="Compac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
          <w:iCs/>
        </w:rPr>
        <w:t xml:space="preserve">Proteger todos los sistemas y redes del software malicioso</w:t>
      </w:r>
    </w:p>
    <w:p>
      <w:pPr>
        <w:pStyle w:val="BodyText"/>
      </w:pPr>
      <w:r>
        <w:rPr>
          <w:b/>
          <w:bCs/>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
          <w:bCs/>
        </w:rPr>
        <w:t xml:space="preserve">Grupo</w:t>
      </w:r>
      <w:r>
        <w:t xml:space="preserve"> </w:t>
      </w:r>
      <w:r>
        <w:t xml:space="preserve">|</w:t>
      </w:r>
      <w:r>
        <w:t xml:space="preserve"> </w:t>
      </w:r>
      <w:r>
        <w:rPr>
          <w:b/>
          <w:bCs/>
        </w:rPr>
        <w:t xml:space="preserve">Significado claro</w:t>
      </w:r>
      <w:r>
        <w:t xml:space="preserve"> </w:t>
      </w:r>
      <w:r>
        <w:t xml:space="preserve">|</w:t>
      </w:r>
      <w:r>
        <w:t xml:space="preserve"> </w:t>
      </w:r>
      <w:r>
        <w:rPr>
          <w:b/>
          <w:bCs/>
        </w:rPr>
        <w:t xml:space="preserve">Enfoque de verificación</w:t>
      </w:r>
      <w:r>
        <w:t xml:space="preserve"> </w:t>
      </w:r>
      <w:r>
        <w:t xml:space="preserve">|</w:t>
      </w:r>
      <w:r>
        <w:t xml:space="preserve"> </w:t>
      </w:r>
      <w:r>
        <w:rPr>
          <w:b/>
          <w:bCs/>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24"/>
    <w:bookmarkStart w:id="25" w:name="Xeec1017ce63c1a185ca0e664969aceafc484620"/>
    <w:p>
      <w:pPr>
        <w:pStyle w:val="Heading1"/>
      </w:pPr>
      <w:r>
        <w:t xml:space="preserve">11. Requisito 6 - Sistemas seguros y software</w:t>
      </w:r>
    </w:p>
    <w:p>
      <w:pPr>
        <w:pStyle w:val="FirstParagraph"/>
      </w:pPr>
      <w:r>
        <w:rPr>
          <w:i/>
          <w:iCs/>
        </w:rPr>
        <w:t xml:space="preserve">Desarrollar y mantener sistemas y software seguros</w:t>
      </w:r>
    </w:p>
    <w:p>
      <w:pPr>
        <w:pStyle w:val="BodyText"/>
      </w:pPr>
      <w:r>
        <w:rPr>
          <w:b/>
          <w:bCs/>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tención 6.1</w:t>
            </w:r>
          </w:p>
        </w:tc>
      </w:tr>
      <w:tr>
        <w:tc>
          <w:tcPr/>
          <w:p>
            <w:pPr>
              <w:pStyle w:val="Compact"/>
            </w:pPr>
            <w:r>
              <w:t xml:space="preserve">TEN 6.2</w:t>
            </w:r>
          </w:p>
        </w:tc>
      </w:tr>
      <w:tr>
        <w:tc>
          <w:tcPr/>
          <w:p>
            <w:pPr>
              <w:pStyle w:val="Compact"/>
            </w:pPr>
            <w:r>
              <w:t xml:space="preserve">TEN 6.3</w:t>
            </w:r>
          </w:p>
        </w:tc>
      </w:tr>
      <w:tr>
        <w:tc>
          <w:tcPr/>
          <w:p>
            <w:pPr>
              <w:pStyle w:val="Compact"/>
            </w:pPr>
            <w:r>
              <w:t xml:space="preserve">tención 6.4</w:t>
            </w:r>
          </w:p>
        </w:tc>
      </w:tr>
      <w:tr>
        <w:tc>
          <w:tcPr/>
          <w:p>
            <w:pPr>
              <w:pStyle w:val="Compac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“media/image6.png”</w:t>
      </w:r>
      <w:r>
        <w:t xml:space="preserve"> </w:t>
      </w:r>
      <w:r>
        <w:t xml:space="preserve">estilo=</w:t>
      </w:r>
      <w:r>
        <w:t xml:space="preserve">“Ancho:6.15in; Altura:3.05in”</w:t>
      </w:r>
      <w:r>
        <w:t xml:space="preserve"> </w:t>
      </w:r>
      <w:r>
        <w:t xml:space="preserve">alt=</w:t>
      </w:r>
      <w:r>
        <w:t xml:space="preserve">“Inventario, autoriza, valida, monitor, y responde a cambios de script y encabezado de página de pago.”</w:t>
      </w:r>
      <w:r>
        <w:t xml:space="preserve"> </w:t>
      </w:r>
      <w:r>
        <w:t xml:space="preserve">/</w:t>
      </w:r>
    </w:p>
    <w:p>
      <w:pPr>
        <w:pStyle w:val="Compact"/>
        <w:numPr>
          <w:ilvl w:val="0"/>
          <w:numId w:val="1008"/>
        </w:numPr>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25"/>
    <w:bookmarkStart w:id="26" w:name="requisito-7---necesidad-de-los-negocios"/>
    <w:p>
      <w:pPr>
        <w:pStyle w:val="Heading1"/>
      </w:pPr>
      <w:r>
        <w:t xml:space="preserve">12. Requisito 7 - Necesidad de los negocios</w:t>
      </w:r>
    </w:p>
    <w:p>
      <w:pPr>
        <w:pStyle w:val="FirstParagraph"/>
      </w:pPr>
      <w:r>
        <w:rPr>
          <w:i/>
          <w:iCs/>
        </w:rPr>
        <w:t xml:space="preserve">Restrict Access to System Components and Cardholder Data by Business Need to Know</w:t>
      </w:r>
    </w:p>
    <w:p>
      <w:pPr>
        <w:pStyle w:val="BodyText"/>
      </w:pPr>
      <w:r>
        <w:rPr>
          <w:b/>
          <w:bCs/>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7.1</w:t>
            </w:r>
          </w:p>
        </w:tc>
      </w:tr>
      <w:tr>
        <w:tc>
          <w:tcPr/>
          <w:p>
            <w:pPr>
              <w:pStyle w:val="Compact"/>
            </w:pPr>
            <w:r>
              <w:t xml:space="preserve">TEN 7.2</w:t>
            </w:r>
          </w:p>
        </w:tc>
      </w:tr>
      <w:tr>
        <w:tc>
          <w:tcPr/>
          <w:p>
            <w:pPr>
              <w:pStyle w:val="Compac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26"/>
    <w:bookmarkStart w:id="27" w:name="requisito-8---identidad-y-autenticación"/>
    <w:p>
      <w:pPr>
        <w:pStyle w:val="Heading1"/>
      </w:pPr>
      <w:r>
        <w:t xml:space="preserve">13. Requisito 8 - Identidad y autenticación</w:t>
      </w:r>
    </w:p>
    <w:p>
      <w:pPr>
        <w:pStyle w:val="FirstParagraph"/>
      </w:pPr>
      <w:r>
        <w:rPr>
          <w:i/>
          <w:iCs/>
        </w:rPr>
        <w:t xml:space="preserve">Identificar a los usuarios y Autentizar el acceso a los componentes del sistema</w:t>
      </w:r>
    </w:p>
    <w:p>
      <w:pPr>
        <w:pStyle w:val="BodyText"/>
      </w:pPr>
      <w:r>
        <w:rPr>
          <w:b/>
          <w:bCs/>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8.1</w:t>
            </w:r>
          </w:p>
        </w:tc>
      </w:tr>
      <w:tr>
        <w:tc>
          <w:tcPr/>
          <w:p>
            <w:pPr>
              <w:pStyle w:val="Compact"/>
            </w:pPr>
            <w:r>
              <w:t xml:space="preserve">TEN 8.2</w:t>
            </w:r>
          </w:p>
        </w:tc>
      </w:tr>
      <w:tr>
        <w:tc>
          <w:tcPr/>
          <w:p>
            <w:pPr>
              <w:pStyle w:val="Compact"/>
            </w:pPr>
            <w:r>
              <w:t xml:space="preserve">8.3</w:t>
            </w:r>
          </w:p>
        </w:tc>
      </w:tr>
      <w:tr>
        <w:tc>
          <w:tcPr/>
          <w:p>
            <w:pPr>
              <w:pStyle w:val="Compact"/>
            </w:pPr>
            <w:r>
              <w:t xml:space="preserve">8.4</w:t>
            </w:r>
          </w:p>
        </w:tc>
      </w:tr>
      <w:tr>
        <w:tc>
          <w:tcPr/>
          <w:p>
            <w:pPr>
              <w:pStyle w:val="Compact"/>
            </w:pPr>
            <w:r>
              <w:t xml:space="preserve">tención 8.5</w:t>
            </w:r>
          </w:p>
        </w:tc>
      </w:tr>
      <w:tr>
        <w:tc>
          <w:tcPr/>
          <w:p>
            <w:pPr>
              <w:pStyle w:val="Compac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Compact"/>
        <w:numPr>
          <w:ilvl w:val="0"/>
          <w:numId w:val="1009"/>
        </w:numPr>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
          <w:iCs/>
        </w:rPr>
        <w:t xml:space="preserve">Restrict Physical Access to Cardholder Data</w:t>
      </w:r>
    </w:p>
    <w:p>
      <w:pPr>
        <w:pStyle w:val="BodyText"/>
      </w:pPr>
      <w:r>
        <w:rPr>
          <w:b/>
          <w:bCs/>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TEN 9.1</w:t>
            </w:r>
          </w:p>
        </w:tc>
      </w:tr>
      <w:tr>
        <w:tc>
          <w:tcPr/>
          <w:p>
            <w:pPr>
              <w:pStyle w:val="Compact"/>
            </w:pPr>
            <w:r>
              <w:t xml:space="preserve">TEN 9.2</w:t>
            </w:r>
          </w:p>
        </w:tc>
      </w:tr>
      <w:tr>
        <w:tc>
          <w:tcPr/>
          <w:p>
            <w:pPr>
              <w:pStyle w:val="Compact"/>
            </w:pPr>
            <w:r>
              <w:t xml:space="preserve">9.3</w:t>
            </w:r>
          </w:p>
        </w:tc>
      </w:tr>
      <w:tr>
        <w:tc>
          <w:tcPr/>
          <w:p>
            <w:pPr>
              <w:pStyle w:val="Compact"/>
            </w:pPr>
            <w:r>
              <w:t xml:space="preserve">9.4</w:t>
            </w:r>
          </w:p>
        </w:tc>
      </w:tr>
      <w:tr>
        <w:tc>
          <w:tcPr/>
          <w:p>
            <w:pPr>
              <w:pStyle w:val="Compac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Compact"/>
        <w:numPr>
          <w:ilvl w:val="0"/>
          <w:numId w:val="1010"/>
        </w:numPr>
      </w:pPr>
      <w:r>
        <w:t xml:space="preserve">Requisitos 10 - Logging and Monitoring</w:t>
      </w:r>
    </w:p>
    <w:p>
      <w:pPr>
        <w:pStyle w:val="FirstParagraph"/>
      </w:pPr>
      <w:r>
        <w:rPr>
          <w:i/>
          <w:iCs/>
        </w:rPr>
        <w:t xml:space="preserve">Log and Monitor All Access to System Components and Cardholder Data</w:t>
      </w:r>
    </w:p>
    <w:p>
      <w:pPr>
        <w:pStyle w:val="BodyText"/>
      </w:pPr>
      <w:r>
        <w:rPr>
          <w:b/>
          <w:bCs/>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TEN 10.1</w:t>
            </w:r>
          </w:p>
        </w:tc>
      </w:tr>
      <w:tr>
        <w:tc>
          <w:tcPr/>
          <w:p>
            <w:pPr>
              <w:pStyle w:val="Compac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pPr>
            <w:r>
              <w:t xml:space="preserve">TEN 10.3</w:t>
            </w:r>
          </w:p>
        </w:tc>
      </w:tr>
      <w:tr>
        <w:tc>
          <w:tcPr/>
          <w:p>
            <w:pPr>
              <w:pStyle w:val="Compact"/>
            </w:pPr>
            <w:r>
              <w:t xml:space="preserve">TEN 10.4</w:t>
            </w:r>
          </w:p>
        </w:tc>
      </w:tr>
      <w:tr>
        <w:tc>
          <w:tcPr/>
          <w:p>
            <w:pPr>
              <w:pStyle w:val="Compact"/>
            </w:pPr>
            <w:r>
              <w:t xml:space="preserve">TEN 10.5</w:t>
            </w:r>
          </w:p>
        </w:tc>
      </w:tr>
      <w:tr>
        <w:tc>
          <w:tcPr/>
          <w:p>
            <w:pPr>
              <w:pStyle w:val="Compact"/>
            </w:pPr>
            <w:r>
              <w:t xml:space="preserve">TEN 10.6</w:t>
            </w:r>
          </w:p>
        </w:tc>
      </w:tr>
      <w:tr>
        <w:tc>
          <w:tcPr/>
          <w:p>
            <w:pPr>
              <w:pStyle w:val="Compac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
          <w:iCs/>
        </w:rPr>
        <w:t xml:space="preserve">Procesos y sistemas de seguridad ordinarios</w:t>
      </w:r>
    </w:p>
    <w:p>
      <w:pPr>
        <w:pStyle w:val="BodyText"/>
      </w:pPr>
      <w:r>
        <w:rPr>
          <w:b/>
          <w:bCs/>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TEN 11.1</w:t>
            </w:r>
          </w:p>
        </w:tc>
      </w:tr>
      <w:tr>
        <w:tc>
          <w:tcPr/>
          <w:p>
            <w:pPr>
              <w:pStyle w:val="Compact"/>
            </w:pPr>
            <w:r>
              <w:t xml:space="preserve">11.2</w:t>
            </w:r>
          </w:p>
        </w:tc>
      </w:tr>
      <w:tr>
        <w:tc>
          <w:tcPr/>
          <w:p>
            <w:pPr>
              <w:pStyle w:val="Compact"/>
            </w:pPr>
            <w:r>
              <w:t xml:space="preserve">TEN 11.3</w:t>
            </w:r>
          </w:p>
        </w:tc>
      </w:tr>
      <w:tr>
        <w:tc>
          <w:tcPr/>
          <w:p>
            <w:pPr>
              <w:pStyle w:val="Compact"/>
            </w:pPr>
            <w:r>
              <w:t xml:space="preserve">TEN 11.4</w:t>
            </w:r>
          </w:p>
        </w:tc>
      </w:tr>
      <w:tr>
        <w:tc>
          <w:tcPr/>
          <w:p>
            <w:pPr>
              <w:pStyle w:val="Compac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
          <w:iCs/>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27"/>
    <w:bookmarkStart w:id="28" w:name="requirement-12-policies-and-programs"/>
    <w:p>
      <w:pPr>
        <w:pStyle w:val="Heading1"/>
      </w:pPr>
      <w:r>
        <w:t xml:space="preserve">17. Requirement 12 — Policies and Programs</w:t>
      </w:r>
    </w:p>
    <w:p>
      <w:pPr>
        <w:pStyle w:val="FirstParagraph"/>
      </w:pPr>
      <w:r>
        <w:rPr>
          <w:i/>
          <w:iCs/>
        </w:rPr>
        <w:t xml:space="preserve">Apoyo Seguridad de la Información con Políticas y Programas Organizacionales</w:t>
      </w:r>
    </w:p>
    <w:p>
      <w:pPr>
        <w:pStyle w:val="BodyText"/>
      </w:pPr>
      <w:r>
        <w:rPr>
          <w:b/>
          <w:bCs/>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TEN 12.1</w:t>
            </w:r>
          </w:p>
        </w:tc>
      </w:tr>
      <w:tr>
        <w:tc>
          <w:tcPr/>
          <w:p>
            <w:pPr>
              <w:pStyle w:val="Compact"/>
            </w:pPr>
            <w:r>
              <w:t xml:space="preserve">tención 12.2</w:t>
            </w:r>
          </w:p>
        </w:tc>
      </w:tr>
      <w:tr>
        <w:tc>
          <w:tcPr/>
          <w:p>
            <w:pPr>
              <w:pStyle w:val="Compact"/>
            </w:pPr>
            <w:r>
              <w:t xml:space="preserve">TEN 12.3</w:t>
            </w:r>
          </w:p>
        </w:tc>
      </w:tr>
      <w:tr>
        <w:tc>
          <w:tcPr/>
          <w:p>
            <w:pPr>
              <w:pStyle w:val="Compact"/>
            </w:pPr>
            <w:r>
              <w:t xml:space="preserve">TEN 12.4</w:t>
            </w:r>
          </w:p>
        </w:tc>
      </w:tr>
      <w:tr>
        <w:tc>
          <w:tcPr/>
          <w:p>
            <w:pPr>
              <w:pStyle w:val="Compact"/>
            </w:pPr>
            <w:r>
              <w:t xml:space="preserve">TEN 12.5</w:t>
            </w:r>
          </w:p>
        </w:tc>
      </w:tr>
      <w:tr>
        <w:tc>
          <w:tcPr/>
          <w:p>
            <w:pPr>
              <w:pStyle w:val="Compact"/>
            </w:pPr>
            <w:r>
              <w:t xml:space="preserve">12.6</w:t>
            </w:r>
          </w:p>
        </w:tc>
      </w:tr>
      <w:tr>
        <w:tc>
          <w:tcPr/>
          <w:p>
            <w:pPr>
              <w:pStyle w:val="Compac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pPr>
            <w:r>
              <w:t xml:space="preserve">TEN 12.8</w:t>
            </w:r>
          </w:p>
        </w:tc>
      </w:tr>
      <w:tr>
        <w:tc>
          <w:tcPr/>
          <w:p>
            <w:pPr>
              <w:pStyle w:val="Compact"/>
            </w:pPr>
            <w:r>
              <w:t xml:space="preserve">12.9</w:t>
            </w:r>
          </w:p>
        </w:tc>
      </w:tr>
      <w:tr>
        <w:tc>
          <w:tcPr/>
          <w:p>
            <w:pPr>
              <w:pStyle w:val="Compac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“media/image7.png”</w:t>
      </w:r>
      <w:r>
        <w:t xml:space="preserve"> </w:t>
      </w:r>
      <w:r>
        <w:t xml:space="preserve">style=</w:t>
      </w:r>
      <w:r>
        <w:t xml:space="preserve">“width:6.15in;height:2.70151in”</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28"/>
    <w:bookmarkStart w:id="30" w:name="pruebas-evaluación-y-control"/>
    <w:p>
      <w:pPr>
        <w:pStyle w:val="Heading1"/>
      </w:pPr>
      <w:r>
        <w:t xml:space="preserve">18. Pruebas, evaluación y control</w:t>
      </w:r>
    </w:p>
    <w:p>
      <w:pPr>
        <w:pStyle w:val="FirstParagraph"/>
      </w:pPr>
      <w:r>
        <w:rPr>
          <w:i/>
          <w:iCs/>
        </w:rPr>
        <w:t xml:space="preserve">Cómo verificar que los requisitos PCI DSS se implementan y operan.</w:t>
      </w:r>
    </w:p>
    <w:p>
      <w:pPr>
        <w:pStyle w:val="BodyText"/>
      </w:pPr>
      <w:r>
        <w:t xml:space="preserve">■img src=</w:t>
      </w:r>
      <w:r>
        <w:t xml:space="preserve">“media/image8.png”</w:t>
      </w:r>
      <w:r>
        <w:t xml:space="preserve"> </w:t>
      </w:r>
      <w:r>
        <w:t xml:space="preserve">style=</w:t>
      </w:r>
      <w:r>
        <w:t xml:space="preserve">“width:6.15in;height:2.84492in”</w:t>
      </w:r>
      <w:r>
        <w:t xml:space="preserve"> </w:t>
      </w:r>
      <w:r>
        <w:t xml:space="preserve">alt=</w:t>
      </w:r>
      <w:r>
        <w:t xml:space="preserve">“Una conclusión defensible conecta criterios, alcance, diseño de control, evidencia completa, pruebas, corrección y retest.”</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29" w:name="pruebas-prácticas"/>
    <w:p>
      <w:pPr>
        <w:pStyle w:val="Heading2"/>
      </w:pPr>
      <w:r>
        <w:t xml:space="preserve">18.1 Pruebas prácticas</w:t>
      </w:r>
    </w:p>
    <w:p>
      <w:pPr>
        <w:pStyle w:val="FirstParagraph"/>
      </w:pPr>
      <w:r>
        <w:rPr>
          <w:b/>
          <w:bCs/>
        </w:rPr>
        <w:t xml:space="preserve">Area</w:t>
      </w:r>
      <w:r>
        <w:t xml:space="preserve"> </w:t>
      </w:r>
      <w:r>
        <w:t xml:space="preserve">|</w:t>
      </w:r>
      <w:r>
        <w:t xml:space="preserve"> </w:t>
      </w:r>
      <w:r>
        <w:rPr>
          <w:b/>
          <w:bCs/>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29"/>
    <w:bookmarkEnd w:id="30"/>
    <w:bookmarkStart w:id="74" w:name="X54dff882c884e6107b1fdca7876ac5435c9a7b4"/>
    <w:p>
      <w:pPr>
        <w:pStyle w:val="Heading1"/>
      </w:pPr>
      <w:r>
        <w:t xml:space="preserve">19. Herramientas de código abierto para el trabajo PCI DSS</w:t>
      </w:r>
    </w:p>
    <w:p>
      <w:pPr>
        <w:pStyle w:val="Compact"/>
        <w:numPr>
          <w:ilvl w:val="0"/>
          <w:numId w:val="1012"/>
        </w:numPr>
      </w:pPr>
      <w:r>
        <w:t xml:space="preserve">Enlaces oficiales, inicios rápidos seguros, pruebas y limitaciones.*</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Herramienta</w:t>
            </w:r>
          </w:p>
        </w:tc>
      </w:tr>
      <w:tr>
        <w:tc>
          <w:tcPr/>
          <w:p>
            <w:pPr>
              <w:pStyle w:val="Compact"/>
            </w:pPr>
            <w:r>
              <w:t xml:space="preserve">CISO Assistant</w:t>
            </w:r>
          </w:p>
        </w:tc>
      </w:tr>
      <w:tr>
        <w:tc>
          <w:tcPr/>
          <w:p>
            <w:pPr>
              <w:pStyle w:val="Compact"/>
            </w:pPr>
            <w:r>
              <w:t xml:space="preserve">tención Wazuh</w:t>
            </w:r>
          </w:p>
        </w:tc>
      </w:tr>
      <w:tr>
        <w:tc>
          <w:tcPr/>
          <w:p>
            <w:pPr>
              <w:pStyle w:val="Compact"/>
            </w:pPr>
            <w:r>
              <w:t xml:space="preserve">Silencioso osquery</w:t>
            </w:r>
          </w:p>
        </w:tc>
      </w:tr>
      <w:tr>
        <w:tc>
          <w:tcPr/>
          <w:p>
            <w:pPr>
              <w:pStyle w:val="Compact"/>
            </w:pPr>
            <w:r>
              <w:t xml:space="preserve">OpenSCAP ← Evaluación de la configuración segura de Linux</w:t>
            </w:r>
          </w:p>
        </w:tc>
      </w:tr>
      <w:tr>
        <w:tc>
          <w:tcPr/>
          <w:p>
            <w:pPr>
              <w:pStyle w:val="Compact"/>
            </w:pPr>
            <w:r>
              <w:t xml:space="preserve">Greenbone Community Edition</w:t>
            </w:r>
          </w:p>
        </w:tc>
      </w:tr>
      <w:tr>
        <w:tc>
          <w:tcPr/>
          <w:p>
            <w:pPr>
              <w:pStyle w:val="Compact"/>
            </w:pPr>
            <w:r>
              <w:t xml:space="preserve">Nmap</w:t>
            </w:r>
          </w:p>
        </w:tc>
      </w:tr>
      <w:tr>
        <w:tc>
          <w:tcPr/>
          <w:p>
            <w:pPr>
              <w:pStyle w:val="Compact"/>
            </w:pPr>
            <w:r>
              <w:t xml:space="preserve">tención Trivy</w:t>
            </w:r>
          </w:p>
        </w:tc>
      </w:tr>
      <w:tr>
        <w:tc>
          <w:tcPr/>
          <w:p>
            <w:pPr>
              <w:pStyle w:val="Compac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pStyle w:val="Compact"/>
        <w:numPr>
          <w:ilvl w:val="0"/>
          <w:numId w:val="1013"/>
        </w:numPr>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31"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31"/>
    <w:bookmarkStart w:id="33"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
          <w:bCs/>
        </w:rPr>
        <w:t xml:space="preserve">Documentación oficial:</w:t>
      </w:r>
      <w:r>
        <w:t xml:space="preserve"> </w:t>
      </w:r>
      <w:r>
        <w:t xml:space="preserve">Abra la guía oficial de asistentes CISO(https://intuitem.gitbook.io/ciso-assistant)</w:t>
      </w:r>
    </w:p>
    <w:bookmarkStart w:id="32"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32"/>
    <w:bookmarkEnd w:id="33"/>
    <w:bookmarkStart w:id="34"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34"/>
    <w:bookmarkStart w:id="36" w:name="wazuh"/>
    <w:p>
      <w:pPr>
        <w:pStyle w:val="Heading2"/>
      </w:pPr>
      <w:r>
        <w:t xml:space="preserve">19.3 Wazuh</w:t>
      </w:r>
    </w:p>
    <w:p>
      <w:pPr>
        <w:pStyle w:val="FirstParagraph"/>
      </w:pPr>
      <w:r>
        <w:t xml:space="preserve">Seguridad Endpoint, malware, registros, integridad. Posible apoyo PCI DSS: 5, 10, 11.</w:t>
      </w:r>
    </w:p>
    <w:p>
      <w:pPr>
        <w:pStyle w:val="BodyText"/>
      </w:pPr>
      <w:r>
        <w:rPr>
          <w:b/>
          <w:bCs/>
        </w:rPr>
        <w:t xml:space="preserve">Documentación oficial:</w:t>
      </w:r>
      <w:r>
        <w:t xml:space="preserve"> </w:t>
      </w:r>
      <w:r>
        <w:t xml:space="preserve">Abra la guía oficial Wazuh realizada/u título](https://documentation.wazuh.com/current/quickstart.html)</w:t>
      </w:r>
    </w:p>
    <w:bookmarkStart w:id="35"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35"/>
    <w:bookmarkEnd w:id="36"/>
    <w:bookmarkStart w:id="37"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37"/>
    <w:bookmarkStart w:id="39"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
          <w:bCs/>
        </w:rPr>
        <w:t xml:space="preserve">Documentación oficial:</w:t>
      </w:r>
      <w:r>
        <w:t xml:space="preserve"> </w:t>
      </w:r>
      <w:r>
        <w:t xml:space="preserve">[Seguido]Abre la guía oficial del osquery realizada/u contacto](https://osquery.readthedocs.io/en/stable/)</w:t>
      </w:r>
    </w:p>
    <w:bookmarkStart w:id="38"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38"/>
    <w:bookmarkEnd w:id="39"/>
    <w:bookmarkStart w:id="40"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0"/>
    <w:bookmarkStart w:id="42" w:name="openscap"/>
    <w:p>
      <w:pPr>
        <w:pStyle w:val="Heading2"/>
      </w:pPr>
      <w:r>
        <w:t xml:space="preserve">19.5 OpenSCAP</w:t>
      </w:r>
    </w:p>
    <w:p>
      <w:pPr>
        <w:pStyle w:val="FirstParagraph"/>
      </w:pPr>
      <w:r>
        <w:t xml:space="preserve">Evaluación de configuración segura de Linux. Posible apoyo PCI DSS: 2, 6.</w:t>
      </w:r>
    </w:p>
    <w:p>
      <w:pPr>
        <w:pStyle w:val="BodyText"/>
      </w:pPr>
      <w:r>
        <w:rPr>
          <w:b/>
          <w:bCs/>
        </w:rPr>
        <w:t xml:space="preserve">Documentación oficial:</w:t>
      </w:r>
      <w:r>
        <w:t xml:space="preserve"> </w:t>
      </w:r>
      <w:r>
        <w:t xml:space="preserve">[Seguido]Abre la guía oficial OpenSCAP efectuada/u contacto](https://www.open-scap.org/getting-started/)</w:t>
      </w:r>
    </w:p>
    <w:bookmarkStart w:id="41"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41"/>
    <w:bookmarkEnd w:id="42"/>
    <w:bookmarkStart w:id="43"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3"/>
    <w:bookmarkStart w:id="45"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
          <w:bCs/>
        </w:rPr>
        <w:t xml:space="preserve">Documentación oficial:</w:t>
      </w:r>
      <w:r>
        <w:t xml:space="preserve"> </w:t>
      </w:r>
      <w:r>
        <w:t xml:space="preserve">[Seguridad]Abre la guía oficial Greenbone Community Edition realizada/u contacto](https://greenbone.github.io/docs/latest/)</w:t>
      </w:r>
    </w:p>
    <w:bookmarkStart w:id="44"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44"/>
    <w:bookmarkEnd w:id="45"/>
    <w:bookmarkStart w:id="46"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6"/>
    <w:bookmarkStart w:id="48"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
          <w:bCs/>
        </w:rPr>
        <w:t xml:space="preserve">Documentación oficial:</w:t>
      </w:r>
      <w:r>
        <w:t xml:space="preserve"> </w:t>
      </w:r>
      <w:r>
        <w:t xml:space="preserve">[Seguridad]Abre la guía oficial Nmap realizada/u contacto](https://nmap.org/book/man.html)</w:t>
      </w:r>
    </w:p>
    <w:bookmarkStart w:id="47"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47"/>
    <w:bookmarkEnd w:id="48"/>
    <w:bookmarkStart w:id="49"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9"/>
    <w:bookmarkStart w:id="51"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
          <w:bCs/>
        </w:rPr>
        <w:t xml:space="preserve">Documentación oficial:</w:t>
      </w:r>
      <w:r>
        <w:t xml:space="preserve"> </w:t>
      </w:r>
      <w:r>
        <w:t xml:space="preserve">Abra la guía oficial Trivy realizada/u título](https://trivy.dev/latest/)</w:t>
      </w:r>
    </w:p>
    <w:bookmarkStart w:id="50"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50"/>
    <w:bookmarkEnd w:id="51"/>
    <w:bookmarkStart w:id="52"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2"/>
    <w:bookmarkStart w:id="54" w:name="owasp-zap"/>
    <w:p>
      <w:pPr>
        <w:pStyle w:val="Heading2"/>
      </w:pPr>
      <w:r>
        <w:t xml:space="preserve">19.9 OWASP ZAP</w:t>
      </w:r>
    </w:p>
    <w:p>
      <w:pPr>
        <w:pStyle w:val="FirstParagraph"/>
      </w:pPr>
      <w:r>
        <w:t xml:space="preserve">Evaluación autorizada de la aplicación web. Posible apoyo PCI DSS: 6, 11.</w:t>
      </w:r>
    </w:p>
    <w:p>
      <w:pPr>
        <w:pStyle w:val="BodyText"/>
      </w:pPr>
      <w:r>
        <w:rPr>
          <w:b/>
          <w:bCs/>
        </w:rPr>
        <w:t xml:space="preserve">Documentación oficial:</w:t>
      </w:r>
      <w:r>
        <w:t xml:space="preserve"> </w:t>
      </w:r>
      <w:r>
        <w:t xml:space="preserve">Abra la guía oficial OWASP ZAP efectuada / u fiel](https://www.zaproxy.org/getting-started/)</w:t>
      </w:r>
    </w:p>
    <w:bookmarkStart w:id="53"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53"/>
    <w:bookmarkEnd w:id="54"/>
    <w:bookmarkStart w:id="55"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5"/>
    <w:bookmarkStart w:id="57"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
          <w:bCs/>
        </w:rPr>
        <w:t xml:space="preserve">Documentación oficial:</w:t>
      </w:r>
      <w:r>
        <w:t xml:space="preserve"> </w:t>
      </w:r>
      <w:r>
        <w:t xml:space="preserve">Abrir la guía oficial ModSecurity + OWASP CRS indica/u contacto](https://coreruleset.org/docs/)</w:t>
      </w:r>
    </w:p>
    <w:bookmarkStart w:id="56"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56"/>
    <w:bookmarkEnd w:id="57"/>
    <w:bookmarkStart w:id="58"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8"/>
    <w:bookmarkStart w:id="60" w:name="suricata"/>
    <w:p>
      <w:pPr>
        <w:pStyle w:val="Heading2"/>
      </w:pPr>
      <w:r>
        <w:t xml:space="preserve">19.11 Suricata</w:t>
      </w:r>
    </w:p>
    <w:p>
      <w:pPr>
        <w:pStyle w:val="FirstParagraph"/>
      </w:pPr>
      <w:r>
        <w:t xml:space="preserve">Detección de intrusión en red. Posible apoyo PCI DSS: 11.5.</w:t>
      </w:r>
    </w:p>
    <w:p>
      <w:pPr>
        <w:pStyle w:val="BodyText"/>
      </w:pPr>
      <w:r>
        <w:rPr>
          <w:b/>
          <w:bCs/>
        </w:rPr>
        <w:t xml:space="preserve">Documentación oficial:</w:t>
      </w:r>
      <w:r>
        <w:t xml:space="preserve"> </w:t>
      </w:r>
      <w:r>
        <w:t xml:space="preserve">[Seguridad]Abre la guía oficial de Suricata realizada/u contacto](https://docs.suricata.io/)</w:t>
      </w:r>
    </w:p>
    <w:bookmarkStart w:id="59"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59"/>
    <w:bookmarkEnd w:id="60"/>
    <w:bookmarkStart w:id="61"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1"/>
    <w:bookmarkStart w:id="63" w:name="keycloak"/>
    <w:p>
      <w:pPr>
        <w:pStyle w:val="Heading2"/>
      </w:pPr>
      <w:r>
        <w:t xml:space="preserve">19.12 Keycloak</w:t>
      </w:r>
    </w:p>
    <w:p>
      <w:pPr>
        <w:pStyle w:val="FirstParagraph"/>
      </w:pPr>
      <w:r>
        <w:t xml:space="preserve">Identidad, acceso, MFA y autenticación. Posible apoyo PCI DSS: 7, 8.</w:t>
      </w:r>
    </w:p>
    <w:p>
      <w:pPr>
        <w:pStyle w:val="BodyText"/>
      </w:pPr>
      <w:r>
        <w:rPr>
          <w:b/>
          <w:bCs/>
        </w:rPr>
        <w:t xml:space="preserve">Documentación oficial:</w:t>
      </w:r>
      <w:r>
        <w:t xml:space="preserve"> </w:t>
      </w:r>
      <w:r>
        <w:t xml:space="preserve">[ obedeció]Abre la guía oficial de Keycloak realizada/u contacto](https://www.keycloak.org/guides)</w:t>
      </w:r>
    </w:p>
    <w:bookmarkStart w:id="62"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62"/>
    <w:bookmarkEnd w:id="63"/>
    <w:bookmarkStart w:id="64"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4"/>
    <w:bookmarkStart w:id="66"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
          <w:bCs/>
        </w:rPr>
        <w:t xml:space="preserve">Documentación oficial:</w:t>
      </w:r>
      <w:r>
        <w:t xml:space="preserve"> </w:t>
      </w:r>
      <w:r>
        <w:t xml:space="preserve">[Seguido]Abre el defecto oficialDojo guía seleccionada/u contacto](https://docs.defectdojo.com/)</w:t>
      </w:r>
    </w:p>
    <w:bookmarkStart w:id="65"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65"/>
    <w:bookmarkEnd w:id="66"/>
    <w:bookmarkStart w:id="67"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7"/>
    <w:bookmarkStart w:id="69" w:name="aide"/>
    <w:p>
      <w:pPr>
        <w:pStyle w:val="Heading2"/>
      </w:pPr>
      <w:r>
        <w:t xml:space="preserve">19.14 AIDE</w:t>
      </w:r>
    </w:p>
    <w:p>
      <w:pPr>
        <w:pStyle w:val="FirstParagraph"/>
      </w:pPr>
      <w:r>
        <w:t xml:space="preserve">Monitoreo de integridad de archivos. Posible apoyo PCI DSS: 11.5.2.</w:t>
      </w:r>
    </w:p>
    <w:p>
      <w:pPr>
        <w:pStyle w:val="BodyText"/>
      </w:pPr>
      <w:r>
        <w:rPr>
          <w:b/>
          <w:bCs/>
        </w:rPr>
        <w:t xml:space="preserve">Documentación oficial:</w:t>
      </w:r>
      <w:r>
        <w:t xml:space="preserve"> </w:t>
      </w:r>
      <w:r>
        <w:t xml:space="preserve">Abra la guía oficial AIDE realizada/u título](https://aide.github.io/)</w:t>
      </w:r>
    </w:p>
    <w:bookmarkStart w:id="68"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68"/>
    <w:bookmarkEnd w:id="69"/>
    <w:bookmarkStart w:id="70"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0"/>
    <w:bookmarkStart w:id="72" w:name="open-policy-agent"/>
    <w:p>
      <w:pPr>
        <w:pStyle w:val="Heading2"/>
      </w:pPr>
      <w:r>
        <w:t xml:space="preserve">19.15 Open Policy Agent</w:t>
      </w:r>
    </w:p>
    <w:p>
      <w:pPr>
        <w:pStyle w:val="FirstParagraph"/>
      </w:pPr>
      <w:r>
        <w:t xml:space="preserve">Política como código. Posible apoyo PCI DSS: 2, 6, 7.</w:t>
      </w:r>
    </w:p>
    <w:p>
      <w:pPr>
        <w:pStyle w:val="BodyText"/>
      </w:pPr>
      <w:r>
        <w:rPr>
          <w:b/>
          <w:bCs/>
        </w:rPr>
        <w:t xml:space="preserve">Documentación oficial:</w:t>
      </w:r>
      <w:r>
        <w:t xml:space="preserve"> </w:t>
      </w:r>
      <w:r>
        <w:t xml:space="preserve">[Seguridad]Abre la guía oficial de Agentes de Políticas Abiertas efectuada/u contacto](https://www.openpolicyagent.org/docs)</w:t>
      </w:r>
    </w:p>
    <w:bookmarkStart w:id="71"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71"/>
    <w:bookmarkEnd w:id="72"/>
    <w:bookmarkStart w:id="73"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3"/>
    <w:bookmarkEnd w:id="74"/>
    <w:bookmarkStart w:id="77" w:name="libro-de-juegos-pci-dss-de-manager"/>
    <w:p>
      <w:pPr>
        <w:pStyle w:val="Heading1"/>
      </w:pPr>
      <w:r>
        <w:t xml:space="preserve">20. Libro de juegos PCI DSS de Manager</w:t>
      </w:r>
    </w:p>
    <w:p>
      <w:pPr>
        <w:pStyle w:val="FirstParagraph"/>
      </w:pPr>
      <w:r>
        <w:rPr>
          <w:i/>
          <w:iCs/>
        </w:rPr>
        <w:t xml:space="preserve">Las preguntas, los paneles, la propiedad y los administradores de decisiones deben controlarse</w:t>
      </w:r>
      <w:r>
        <w:t xml:space="preserve">.</w:t>
      </w:r>
    </w:p>
    <w:bookmarkStart w:id="75"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75"/>
    <w:bookmarkStart w:id="76" w:name="dashboard"/>
    <w:p>
      <w:pPr>
        <w:pStyle w:val="Heading2"/>
      </w:pPr>
      <w:r>
        <w:t xml:space="preserve">20.2 Dashboard</w:t>
      </w:r>
    </w:p>
    <w:p>
      <w:pPr>
        <w:pStyle w:val="FirstParagraph"/>
      </w:pPr>
      <w:r>
        <w:rPr>
          <w:b/>
          <w:bCs/>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76"/>
    <w:bookmarkEnd w:id="77"/>
    <w:bookmarkStart w:id="79" w:name="Xc889731e5ac2ec86f979f1188d51c339a62263b"/>
    <w:p>
      <w:pPr>
        <w:pStyle w:val="Heading1"/>
      </w:pPr>
      <w:r>
        <w:t xml:space="preserve">21. Desde el principiante hasta el analista Junior PCI</w:t>
      </w:r>
    </w:p>
    <w:p>
      <w:pPr>
        <w:pStyle w:val="FirstParagraph"/>
      </w:pPr>
      <w:r>
        <w:rPr>
          <w:i/>
          <w:iCs/>
        </w:rPr>
        <w:t xml:space="preserve">Un camino seguro y honesto hacia el cumplimiento de la seguridad de pago.</w:t>
      </w:r>
    </w:p>
    <w:p>
      <w:pPr>
        <w:pStyle w:val="BodyText"/>
      </w:pPr>
      <w:r>
        <w:t xml:space="preserve">■img src=</w:t>
      </w:r>
      <w:r>
        <w:t xml:space="preserve">“media/image9.png”</w:t>
      </w:r>
      <w:r>
        <w:t xml:space="preserve"> </w:t>
      </w:r>
      <w:r>
        <w:t xml:space="preserve">estilo=</w:t>
      </w:r>
      <w:r>
        <w:t xml:space="preserve">“width:6.15in;height:3.05995in”</w:t>
      </w:r>
      <w:r>
        <w:t xml:space="preserve"> </w:t>
      </w:r>
      <w:r>
        <w:t xml:space="preserve">alt=</w:t>
      </w:r>
      <w:r>
        <w:t xml:space="preserve">“Aprende el alcance y los datos, requisitos de mapa, evidencia de prueba, lagunas de informe y construye una cartera honesta.”</w:t>
      </w:r>
      <w:r>
        <w:t xml:space="preserve"> </w:t>
      </w:r>
      <w:r>
        <w:t xml:space="preserve">/</w:t>
      </w:r>
    </w:p>
    <w:p>
      <w:pPr>
        <w:pStyle w:val="BodyText"/>
      </w:pPr>
      <w:r>
        <w:t xml:space="preserve">Figura 9. Vía de analista Junior PCI</w:t>
      </w:r>
    </w:p>
    <w:p>
      <w:pPr>
        <w:pStyle w:val="BodyText"/>
      </w:pPr>
      <w:r>
        <w:rPr>
          <w:b/>
          <w:bCs/>
        </w:rPr>
        <w:t xml:space="preserve">Junior PCI Compliance Analyst</w:t>
      </w:r>
    </w:p>
    <w:p>
      <w:pPr>
        <w:pStyle w:val="BodyText"/>
      </w:pPr>
      <w:r>
        <w:rPr>
          <w:b/>
          <w:bCs/>
        </w:rPr>
        <w:t xml:space="preserve">GRC Analyst — Payments</w:t>
      </w:r>
    </w:p>
    <w:p>
      <w:pPr>
        <w:pStyle w:val="BodyText"/>
      </w:pPr>
      <w:r>
        <w:t xml:space="preserve">** Analista de Controles de Seguridad**</w:t>
      </w:r>
    </w:p>
    <w:p>
      <w:pPr>
        <w:pStyle w:val="BodyText"/>
      </w:pPr>
      <w:r>
        <w:rPr>
          <w:b/>
          <w:bCs/>
        </w:rPr>
        <w:t xml:space="preserve">PCI Evidence Coordinator</w:t>
      </w:r>
    </w:p>
    <w:p>
      <w:pPr>
        <w:pStyle w:val="Compact"/>
        <w:numPr>
          <w:ilvl w:val="0"/>
          <w:numId w:val="1015"/>
        </w:numPr>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78"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78"/>
    <w:bookmarkEnd w:id="79"/>
    <w:bookmarkStart w:id="96" w:name="laboratorio-ficcional-y-portfolio"/>
    <w:p>
      <w:pPr>
        <w:pStyle w:val="Heading1"/>
      </w:pPr>
      <w:r>
        <w:t xml:space="preserve">22. Laboratorio Ficcional y Portfolio</w:t>
      </w:r>
    </w:p>
    <w:p>
      <w:pPr>
        <w:pStyle w:val="FirstParagraph"/>
      </w:pPr>
      <w:r>
        <w:rPr>
          <w:i/>
          <w:iCs/>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80"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80"/>
    <w:bookmarkStart w:id="81"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81"/>
    <w:bookmarkStart w:id="82"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82"/>
    <w:bookmarkStart w:id="83"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83"/>
    <w:bookmarkStart w:id="84"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84"/>
    <w:bookmarkStart w:id="85"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pStyle w:val="Compact"/>
        <w:numPr>
          <w:ilvl w:val="0"/>
          <w:numId w:val="1017"/>
        </w:numPr>
      </w:pPr>
      <w:r>
        <w:t xml:space="preserve">Plan de aprendizaje de 30 días</w:t>
      </w:r>
    </w:p>
    <w:p>
      <w:pPr>
        <w:pStyle w:val="FirstParagraph"/>
      </w:pPr>
      <w:r>
        <w:rPr>
          <w:i/>
          <w:iCs/>
        </w:rPr>
        <w:t xml:space="preserve">Un mes realista de lectura oficial, evidencia práctica y preparación de entrevistas</w:t>
      </w:r>
      <w:r>
        <w:t xml:space="preserve">.</w:t>
      </w:r>
    </w:p>
    <w:p>
      <w:pPr>
        <w:pStyle w:val="BodyText"/>
      </w:pPr>
      <w:r>
        <w:rPr>
          <w:b/>
          <w:bCs/>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pStyle w:val="Compact"/>
        <w:numPr>
          <w:ilvl w:val="0"/>
          <w:numId w:val="1018"/>
        </w:numPr>
      </w:pPr>
      <w:r>
        <w:t xml:space="preserve">Preparación de entrevistas</w:t>
      </w:r>
    </w:p>
    <w:p>
      <w:pPr>
        <w:pStyle w:val="FirstParagraph"/>
      </w:pPr>
      <w:r>
        <w:rPr>
          <w:i/>
          <w:iCs/>
        </w:rPr>
        <w:t xml:space="preserve">Respuestas rápidas y precisas para analistas y administradores junior</w:t>
      </w:r>
      <w:r>
        <w:t xml:space="preserve">.</w:t>
      </w:r>
    </w:p>
    <w:bookmarkEnd w:id="85"/>
    <w:bookmarkStart w:id="86"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86"/>
    <w:bookmarkStart w:id="87"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87"/>
    <w:bookmarkStart w:id="88" w:name="qué-es-pan"/>
    <w:p>
      <w:pPr>
        <w:pStyle w:val="Heading2"/>
      </w:pPr>
      <w:r>
        <w:t xml:space="preserve">¿Qué es PAN?</w:t>
      </w:r>
    </w:p>
    <w:p>
      <w:pPr>
        <w:pStyle w:val="FirstParagraph"/>
      </w:pPr>
      <w:r>
        <w:t xml:space="preserve">El número de cuenta primaria. Su presencia es central en la aplicabilidad PCI DSS.</w:t>
      </w:r>
    </w:p>
    <w:bookmarkEnd w:id="88"/>
    <w:bookmarkStart w:id="89"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89"/>
    <w:bookmarkStart w:id="90"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90"/>
    <w:bookmarkStart w:id="91"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91"/>
    <w:bookmarkStart w:id="92"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92"/>
    <w:bookmarkStart w:id="93"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93"/>
    <w:bookmarkStart w:id="94"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94"/>
    <w:bookmarkStart w:id="95"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
          <w:bCs/>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95"/>
    <w:bookmarkEnd w:id="96"/>
    <w:bookmarkStart w:id="101" w:name="plantillas-glosario-e-índice"/>
    <w:p>
      <w:pPr>
        <w:pStyle w:val="Heading1"/>
      </w:pPr>
      <w:r>
        <w:t xml:space="preserve">25. Plantillas, Glosario e Índice</w:t>
      </w:r>
    </w:p>
    <w:p>
      <w:pPr>
        <w:pStyle w:val="FirstParagraph"/>
      </w:pPr>
      <w:r>
        <w:rPr>
          <w:i/>
          <w:iCs/>
        </w:rPr>
        <w:t xml:space="preserve">Reusable structures and plain-English definitions.</w:t>
      </w:r>
    </w:p>
    <w:bookmarkStart w:id="97"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97"/>
    <w:bookmarkStart w:id="98"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98"/>
    <w:bookmarkStart w:id="99" w:name="glosario"/>
    <w:p>
      <w:pPr>
        <w:pStyle w:val="Heading2"/>
      </w:pPr>
      <w:r>
        <w:t xml:space="preserve">25.3 Glosario</w:t>
      </w:r>
    </w:p>
    <w:p>
      <w:pPr>
        <w:pStyle w:val="FirstParagraph"/>
      </w:pPr>
      <w:r>
        <w:rPr>
          <w:b/>
          <w:bCs/>
        </w:rPr>
        <w:t xml:space="preserve">AOC.</w:t>
      </w:r>
      <w:r>
        <w:t xml:space="preserve"> </w:t>
      </w:r>
      <w:r>
        <w:t xml:space="preserve">Atestiguación del cumplimiento.</w:t>
      </w:r>
    </w:p>
    <w:p>
      <w:pPr>
        <w:pStyle w:val="BodyText"/>
      </w:pPr>
      <w:r>
        <w:rPr>
          <w:b/>
          <w:bCs/>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
          <w:bCs/>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
          <w:bCs/>
        </w:rPr>
        <w:t xml:space="preserve">PAN.</w:t>
      </w:r>
      <w:r>
        <w:t xml:space="preserve"> </w:t>
      </w:r>
      <w:r>
        <w:t xml:space="preserve">Número de cuenta primaria.</w:t>
      </w:r>
    </w:p>
    <w:p>
      <w:pPr>
        <w:pStyle w:val="BodyText"/>
      </w:pPr>
      <w:r>
        <w:rPr>
          <w:b/>
          <w:bCs/>
        </w:rPr>
        <w:t xml:space="preserve">QSA.</w:t>
      </w:r>
      <w:r>
        <w:t xml:space="preserve"> </w:t>
      </w:r>
      <w:r>
        <w:t xml:space="preserve">Evaluador de Seguridad Calificado.</w:t>
      </w:r>
    </w:p>
    <w:p>
      <w:pPr>
        <w:pStyle w:val="BodyText"/>
      </w:pPr>
      <w:r>
        <w:rPr>
          <w:b/>
          <w:bCs/>
        </w:rPr>
        <w:t xml:space="preserve">ROC.</w:t>
      </w:r>
      <w:r>
        <w:t xml:space="preserve"> </w:t>
      </w:r>
      <w:r>
        <w:t xml:space="preserve">Informe sobre el cumplimiento.</w:t>
      </w:r>
    </w:p>
    <w:p>
      <w:pPr>
        <w:pStyle w:val="BodyText"/>
      </w:pPr>
      <w:r>
        <w:rPr>
          <w:b/>
          <w:bCs/>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
          <w:bCs/>
        </w:rPr>
        <w:t xml:space="preserve">Segmentación</w:t>
      </w:r>
      <w:r>
        <w:t xml:space="preserve">. Los controles utilizados para aislar el CDE y potencialmente reducir el alcance.</w:t>
      </w:r>
    </w:p>
    <w:p>
      <w:pPr>
        <w:pStyle w:val="BodyText"/>
      </w:pPr>
      <w:r>
        <w:rPr>
          <w:b/>
          <w:bCs/>
        </w:rPr>
        <w:t xml:space="preserve">Evaluación del riesgo.</w:t>
      </w:r>
      <w:r>
        <w:t xml:space="preserve"> </w:t>
      </w:r>
      <w:r>
        <w:t xml:space="preserve">Un análisis PCI DSS v4.x apoyando decisiones de frecuencia especificadas o controles personalizados.</w:t>
      </w:r>
    </w:p>
    <w:p>
      <w:pPr>
        <w:pStyle w:val="BodyText"/>
      </w:pPr>
      <w:r>
        <w:rPr>
          <w:b/>
          <w:bCs/>
        </w:rPr>
        <w:t xml:space="preserve">TPSP.</w:t>
      </w:r>
      <w:r>
        <w:t xml:space="preserve"> </w:t>
      </w:r>
      <w:r>
        <w:t xml:space="preserve">Proveedor de servicios de terceros.</w:t>
      </w:r>
    </w:p>
    <w:bookmarkEnd w:id="99"/>
    <w:bookmarkStart w:id="100" w:name="índice-de-asunto"/>
    <w:p>
      <w:pPr>
        <w:pStyle w:val="Heading2"/>
      </w:pPr>
      <w:r>
        <w:t xml:space="preserve">25.4 Índice de asunto</w:t>
      </w:r>
    </w:p>
    <w:p>
      <w:pPr>
        <w:pStyle w:val="FirstParagraph"/>
      </w:pPr>
      <w:r>
        <w:rPr>
          <w:b/>
          <w:bCs/>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00"/>
    <w:bookmarkEnd w:id="101"/>
    <w:bookmarkStart w:id="106" w:name="referencias-oficiales-y-estudio-ulterior"/>
    <w:p>
      <w:pPr>
        <w:pStyle w:val="Heading1"/>
      </w:pPr>
      <w:r>
        <w:t xml:space="preserve">26. Referencias oficiales y estudio ulterior</w:t>
      </w:r>
    </w:p>
    <w:p>
      <w:pPr>
        <w:pStyle w:val="Compact"/>
        <w:numPr>
          <w:ilvl w:val="0"/>
          <w:numId w:val="1021"/>
        </w:numPr>
      </w:pPr>
      <w:r>
        <w:t xml:space="preserve">Fuentes actuales de PCI SSC y documentación oficial de herramientas utilizada para la verificación.*</w:t>
      </w:r>
    </w:p>
    <w:p>
      <w:pPr>
        <w:pStyle w:val="FirstParagraph"/>
      </w:pPr>
      <w:hyperlink r:id="rId102">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03">
        <w:r>
          <w:rPr>
            <w:rStyle w:val="Hyperlink"/>
          </w:rPr>
          <w:t xml:space="preserve">Seguido</w:t>
        </w:r>
      </w:hyperlink>
    </w:p>
    <w:p>
      <w:pPr>
        <w:pStyle w:val="BodyText"/>
      </w:pPr>
      <w:hyperlink r:id="rId104">
        <w:r>
          <w:rPr>
            <w:rStyle w:val="Hyperlink"/>
          </w:rPr>
          <w:t xml:space="preserve">No</w:t>
        </w:r>
      </w:hyperlink>
    </w:p>
    <w:p>
      <w:pPr>
        <w:pStyle w:val="BodyText"/>
      </w:pPr>
      <w:hyperlink r:id="rId105">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
          <w:bCs/>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4" Target="https://blog.pcisecuritystandards.org/just-published-pci-dss-v4-x-targeted-risk-analysis-guidance" TargetMode="External" /><Relationship Type="http://schemas.openxmlformats.org/officeDocument/2006/relationships/hyperlink" Id="rId105" Target="https://blog.pcisecuritystandards.org/new-information-supplement-payment-page-security-and-preventing-e-skimming" TargetMode="External" /><Relationship Type="http://schemas.openxmlformats.org/officeDocument/2006/relationships/hyperlink" Id="rId102" Target="https://www.pcisecuritystandards.org/document_library/" TargetMode="External" /><Relationship Type="http://schemas.openxmlformats.org/officeDocument/2006/relationships/hyperlink" Id="rId103"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04" Target="https://blog.pcisecuritystandards.org/just-published-pci-dss-v4-x-targeted-risk-analysis-guidance" TargetMode="External" /><Relationship Type="http://schemas.openxmlformats.org/officeDocument/2006/relationships/hyperlink" Id="rId105" Target="https://blog.pcisecuritystandards.org/new-information-supplement-payment-page-security-and-preventing-e-skimming" TargetMode="External" /><Relationship Type="http://schemas.openxmlformats.org/officeDocument/2006/relationships/hyperlink" Id="rId102" Target="https://www.pcisecuritystandards.org/document_library/" TargetMode="External" /><Relationship Type="http://schemas.openxmlformats.org/officeDocument/2006/relationships/hyperlink" Id="rId103"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2026-07-28T18:04:10Z</dcterms:created>
  <dcterms:modified xsi:type="dcterms:W3CDTF">2026-07-28T18:04:10Z</dcterms:modified>
</cp:coreProperties>
</file>

<file path=docProps/custom.xml><?xml version="1.0" encoding="utf-8"?>
<Properties xmlns="http://schemas.openxmlformats.org/officeDocument/2006/custom-properties" xmlns:vt="http://schemas.openxmlformats.org/officeDocument/2006/docPropsVTypes"/>
</file>