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9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9"/>
    <w:bookmarkStart w:id="10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10"/>
    <w:bookmarkStart w:id="11" w:name="como-usar-este-manual"/>
    <w:p>
      <w:pPr>
        <w:pStyle w:val="Heading1"/>
      </w:pPr>
      <w:r>
        <w:t xml:space="preserve"># 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Playbook TPRM do gestor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11"/>
    <w:bookmarkStart w:id="15" w:name="tprm-e-cyber-supply-chain-fundações"/>
    <w:p>
      <w:pPr>
        <w:pStyle w:val="Heading1"/>
      </w:pPr>
      <w:r>
        <w:t xml:space="preserve">1. TPRM e Cyber Supply Chain Fundações</w:t>
      </w:r>
    </w:p>
    <w:p>
      <w:pPr>
        <w:pStyle w:val="Compact"/>
        <w:numPr>
          <w:ilvl w:val="0"/>
          <w:numId w:val="1002"/>
        </w:numPr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12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12"/>
    <w:bookmarkStart w:id="13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pStyle w:val="Compact"/>
        <w:numPr>
          <w:ilvl w:val="0"/>
          <w:numId w:val="1003"/>
        </w:numPr>
      </w:pPr>
      <w:r>
        <w:t xml:space="preserve">O Ciclo de Vida da Terceira Parte</w:t>
      </w:r>
    </w:p>
    <w:p>
      <w:pPr>
        <w:pStyle w:val="Compact"/>
        <w:numPr>
          <w:ilvl w:val="0"/>
          <w:numId w:val="1004"/>
        </w:numPr>
      </w:pPr>
      <w:r>
        <w:t xml:space="preserve">Um processo de ciclo de vida impede que a avaliação se torne um questionário único.*</w:t>
      </w:r>
    </w:p>
    <w:p>
      <w:pPr>
        <w:pStyle w:val="FirstParagraph"/>
      </w:pPr>
    </w:p>
    <w:p>
      <w:pPr>
        <w:pStyle w:val="BodyText"/>
      </w:pPr>
      <w:r>
        <w:t xml:space="preserve">Figura 1. Ciclo de vida de risco de terceiros</w:t>
      </w:r>
    </w:p>
    <w:bookmarkEnd w:id="13"/>
    <w:bookmarkStart w:id="14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14"/>
    <w:bookmarkEnd w:id="15"/>
    <w:bookmarkStart w:id="19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/>
          <w:iCs/>
        </w:rPr>
        <w:t xml:space="preserve">Governança estabelece direitos de decisão, limites de risco, financiamento e escalada.</w:t>
      </w:r>
    </w:p>
    <w:bookmarkStart w:id="16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16"/>
    <w:bookmarkStart w:id="17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17"/>
    <w:bookmarkStart w:id="18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18"/>
    <w:bookmarkEnd w:id="19"/>
    <w:bookmarkStart w:id="23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/>
          <w:iCs/>
        </w:rPr>
        <w:t xml:space="preserve">Conheça todos os fornecedores e escalas trabalham para provavelmente prejudicar.</w:t>
      </w:r>
    </w:p>
    <w:p>
      <w:pPr>
        <w:pStyle w:val="BodyText"/>
      </w:pPr>
    </w:p>
    <w:p>
      <w:pPr>
        <w:pStyle w:val="BodyText"/>
      </w:pPr>
      <w:r>
        <w:t xml:space="preserve">Figura 2. Listas de fornecedores de exemplo</w:t>
      </w:r>
    </w:p>
    <w:bookmarkStart w:id="20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20"/>
    <w:bookmarkStart w:id="21" w:name="fatores-de-nivelamento"/>
    <w:p>
      <w:pPr>
        <w:pStyle w:val="Heading2"/>
      </w:pPr>
      <w:r>
        <w:t xml:space="preserve">4.2 Fatores de nivelamento</w:t>
      </w:r>
    </w:p>
    <w:bookmarkEnd w:id="21"/>
    <w:bookmarkStart w:id="22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/>
          <w:bCs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pStyle w:val="Compact"/>
        <w:numPr>
          <w:ilvl w:val="0"/>
          <w:numId w:val="1007"/>
        </w:numPr>
      </w:pPr>
      <w:r>
        <w:t xml:space="preserve">Risco de Ingestão e Inerência</w:t>
      </w:r>
    </w:p>
    <w:p>
      <w:pPr>
        <w:pStyle w:val="FirstParagraph"/>
      </w:pPr>
      <w:r>
        <w:rPr>
          <w:i/>
          <w:iCs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2"/>
    <w:bookmarkEnd w:id="23"/>
    <w:bookmarkStart w:id="27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/>
          <w:iCs/>
        </w:rPr>
        <w:t xml:space="preserve">Due diligence reúne informações pertinentes para que a organização possa fazer uma aquisição informada ou decisão de uso contínuo.</w:t>
      </w:r>
    </w:p>
    <w:p>
      <w:pPr>
        <w:pStyle w:val="BodyText"/>
      </w:pP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2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24"/>
    <w:bookmarkStart w:id="26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pStyle w:val="Compact"/>
        <w:numPr>
          <w:ilvl w:val="0"/>
          <w:numId w:val="1010"/>
        </w:numPr>
      </w:pPr>
      <w:r>
        <w:t xml:space="preserve">Revisão e Confiança de Evidências</w:t>
      </w:r>
    </w:p>
    <w:p>
      <w:pPr>
        <w:pStyle w:val="Compact"/>
        <w:numPr>
          <w:ilvl w:val="0"/>
          <w:numId w:val="1011"/>
        </w:numPr>
      </w:pPr>
      <w:r>
        <w:t xml:space="preserve">A evidência é útil apenas quando corresponde ao serviço, período, controle e risco de ser avaliado.*</w:t>
      </w:r>
    </w:p>
    <w:p>
      <w:pPr>
        <w:pStyle w:val="FirstParagraph"/>
      </w:pPr>
    </w:p>
    <w:p>
      <w:pPr>
        <w:pStyle w:val="BodyText"/>
      </w:pPr>
      <w:r>
        <w:t xml:space="preserve">Figura 4. Escada de confiança das evidências</w:t>
      </w:r>
    </w:p>
    <w:p>
      <w:pPr>
        <w:pStyle w:val="Heading2"/>
        <w:numPr>
          <w:ilvl w:val="0"/>
          <w:numId w:val="1012"/>
        </w:numPr>
      </w:pPr>
      <w:bookmarkStart w:id="25" w:name="Xaa957440699d25bbde39eaa6e0eb5bbc21779bf"/>
      <w:r>
        <w:t xml:space="preserve">Artifact** ** Pontos de revisão** ** Armadilha comum**</w:t>
      </w:r>
      <w:bookmarkEnd w:id="25"/>
    </w:p>
    <w:p>
      <w:pPr>
        <w:pStyle w:val="Compact"/>
        <w:numPr>
          <w:ilvl w:val="0"/>
          <w:numId w:val="1000"/>
        </w:numPr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26"/>
    <w:bookmarkEnd w:id="27"/>
    <w:bookmarkStart w:id="31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/>
          <w:iCs/>
        </w:rPr>
        <w:t xml:space="preserve">A pontuação de Risk suporta decisões consistentes, mas os números não devem esconder incerteza ou problemas graves.</w:t>
      </w:r>
    </w:p>
    <w:bookmarkStart w:id="28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28"/>
    <w:bookmarkStart w:id="29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29"/>
    <w:bookmarkStart w:id="30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30"/>
    <w:bookmarkEnd w:id="31"/>
    <w:bookmarkStart w:id="34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/>
          <w:iCs/>
        </w:rPr>
        <w:t xml:space="preserve">Contratos convertem requisitos selecionados em responsabilidades executórias.</w:t>
      </w:r>
    </w:p>
    <w:bookmarkStart w:id="32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32"/>
    <w:bookmarkStart w:id="33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pStyle w:val="Compact"/>
        <w:numPr>
          <w:ilvl w:val="0"/>
          <w:numId w:val="1014"/>
        </w:numPr>
      </w:pPr>
      <w:r>
        <w:t xml:space="preserve">Abordagem segura</w:t>
      </w:r>
    </w:p>
    <w:p>
      <w:pPr>
        <w:pStyle w:val="FirstParagraph"/>
      </w:pPr>
      <w:r>
        <w:rPr>
          <w:i/>
          <w:iCs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33"/>
    <w:bookmarkEnd w:id="34"/>
    <w:bookmarkStart w:id="35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35"/>
    <w:bookmarkStart w:id="37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/>
          <w:iCs/>
        </w:rPr>
        <w:t xml:space="preserve">O monitoramento detecta mudanças significativas e verifica que o tratamento continua funcionando.</w:t>
      </w:r>
    </w:p>
    <w:bookmarkStart w:id="36" w:name="signal-possible-action"/>
    <w:p>
      <w:pPr>
        <w:pStyle w:val="Heading2"/>
      </w:pPr>
      <w:r>
        <w:t xml:space="preserve">*Signal</w:t>
      </w:r>
      <w:r>
        <w:rPr>
          <w:b/>
          <w:bCs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36"/>
    <w:bookmarkEnd w:id="37"/>
    <w:bookmarkStart w:id="40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pStyle w:val="Heading2"/>
        <w:numPr>
          <w:ilvl w:val="0"/>
          <w:numId w:val="1018"/>
        </w:numPr>
      </w:pPr>
      <w:bookmarkStart w:id="38" w:name="elemento-de-localização-conteúdo"/>
      <w:r>
        <w:rPr>
          <w:b/>
          <w:bCs/>
        </w:rPr>
        <w:t xml:space="preserve">Elemento de localização</w:t>
      </w:r>
      <w:r>
        <w:t xml:space="preserve"> </w:t>
      </w:r>
      <w:r>
        <w:rPr>
          <w:b/>
          <w:bCs/>
        </w:rPr>
        <w:t xml:space="preserve">Conteúdo</w:t>
      </w:r>
      <w:bookmarkEnd w:id="38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39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39"/>
    <w:bookmarkEnd w:id="40"/>
    <w:bookmarkStart w:id="41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pStyle w:val="Compact"/>
        <w:numPr>
          <w:ilvl w:val="0"/>
          <w:numId w:val="1019"/>
        </w:numPr>
      </w:pPr>
      <w:r>
        <w:t xml:space="preserve">Incidentes de fornecedores exigem fatos compartilhados, papéis, relógios, canais e decisões de recuperação.*</w:t>
      </w:r>
    </w:p>
    <w:p>
      <w:pPr>
        <w:pStyle w:val="FirstParagraph"/>
      </w:pPr>
    </w:p>
    <w:p>
      <w:pPr>
        <w:pStyle w:val="BodyText"/>
      </w:pPr>
      <w:r>
        <w:t xml:space="preserve">Figura 5. Coordenação incidente do fornecedor</w:t>
      </w:r>
    </w:p>
    <w:bookmarkEnd w:id="41"/>
    <w:bookmarkStart w:id="43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pStyle w:val="Heading2"/>
        <w:numPr>
          <w:ilvl w:val="0"/>
          <w:numId w:val="1021"/>
        </w:numPr>
      </w:pPr>
      <w:bookmarkStart w:id="42" w:name="X945e943b0fe098cef9963a72368a1f25cc8ad95"/>
      <w:r>
        <w:t xml:space="preserve">Primeiras perguntas** Por que elas importam**</w:t>
      </w:r>
      <w:bookmarkEnd w:id="42"/>
    </w:p>
    <w:p>
      <w:pPr>
        <w:pStyle w:val="Compact"/>
        <w:numPr>
          <w:ilvl w:val="0"/>
          <w:numId w:val="1000"/>
        </w:numPr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43"/>
    <w:bookmarkStart w:id="44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/>
          <w:iCs/>
        </w:rPr>
        <w:t xml:space="preserve">Quarto partido e risco de concentração pode transformar muitos registros de fornecedores separados em uma falha compartilhada.</w:t>
      </w:r>
    </w:p>
    <w:p>
      <w:pPr>
        <w:pStyle w:val="BodyText"/>
      </w:pPr>
    </w:p>
    <w:p>
      <w:pPr>
        <w:pStyle w:val="BodyText"/>
      </w:pPr>
      <w:r>
        <w:t xml:space="preserve">Figura 6. Concentração oculta da quarta parte</w:t>
      </w:r>
    </w:p>
    <w:bookmarkEnd w:id="44"/>
    <w:bookmarkStart w:id="45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45"/>
    <w:bookmarkStart w:id="47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pStyle w:val="Compact"/>
        <w:numPr>
          <w:ilvl w:val="0"/>
          <w:numId w:val="1024"/>
        </w:numPr>
      </w:pPr>
      <w:r>
        <w:t xml:space="preserve">Cloud e SaaS Vendedores</w:t>
      </w:r>
    </w:p>
    <w:p>
      <w:pPr>
        <w:pStyle w:val="Compact"/>
        <w:numPr>
          <w:ilvl w:val="0"/>
          <w:numId w:val="1025"/>
        </w:numPr>
      </w:pPr>
      <w:r>
        <w:t xml:space="preserve">O risco de nuvem e SaaS depende do modelo de responsabilidade compartilhada e da configuração da organização.*</w:t>
      </w:r>
    </w:p>
    <w:bookmarkStart w:id="46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46"/>
    <w:bookmarkEnd w:id="47"/>
    <w:bookmarkStart w:id="48" w:name="software-e-correntes-de-fonte-aberta"/>
    <w:p>
      <w:pPr>
        <w:pStyle w:val="Heading1"/>
      </w:pPr>
      <w:r>
        <w:t xml:space="preserve">16. Software e correntes de fonte aberta</w:t>
      </w:r>
    </w:p>
    <w:p>
      <w:pPr>
        <w:pStyle w:val="Compact"/>
        <w:numPr>
          <w:ilvl w:val="0"/>
          <w:numId w:val="1026"/>
        </w:numPr>
      </w:pPr>
      <w:r>
        <w:t xml:space="preserve">Risco de software inclui práticas de fornecedor e cada componente, passo de construção, canal de atualização e dependência.*</w:t>
      </w:r>
    </w:p>
    <w:p>
      <w:pPr>
        <w:pStyle w:val="FirstParagraph"/>
      </w:pPr>
    </w:p>
    <w:p>
      <w:pPr>
        <w:pStyle w:val="BodyText"/>
      </w:pPr>
      <w:r>
        <w:t xml:space="preserve">Figura 7. Fluxo de evidência da cadeia de fornecimento de software</w:t>
      </w:r>
    </w:p>
    <w:bookmarkEnd w:id="48"/>
    <w:bookmarkStart w:id="51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49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pStyle w:val="Compact"/>
        <w:numPr>
          <w:ilvl w:val="0"/>
          <w:numId w:val="1029"/>
        </w:numPr>
      </w:pPr>
      <w:r>
        <w:t xml:space="preserve">Vendedores de Inteligência Artificial</w:t>
      </w:r>
    </w:p>
    <w:p>
      <w:pPr>
        <w:pStyle w:val="FirstParagraph"/>
      </w:pPr>
      <w:r>
        <w:rPr>
          <w:i/>
          <w:iCs/>
        </w:rPr>
        <w:t xml:space="preserve">Fornecedores de IA adicionam modelos, treinamento e dados rápidos, saídas incertas e cadeias de provedores ocultos.</w:t>
      </w:r>
    </w:p>
    <w:p>
      <w:pPr>
        <w:pStyle w:val="BodyText"/>
      </w:pPr>
    </w:p>
    <w:p>
      <w:pPr>
        <w:pStyle w:val="BodyText"/>
      </w:pPr>
      <w:r>
        <w:t xml:space="preserve">Figura 8. Fluxo de trabalho de risco do fornecedor de IA</w:t>
      </w:r>
    </w:p>
    <w:bookmarkEnd w:id="49"/>
    <w:bookmarkStart w:id="50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50"/>
    <w:bookmarkEnd w:id="51"/>
    <w:bookmarkStart w:id="52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/>
          <w:iCs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2"/>
    <w:bookmarkStart w:id="54" w:name="resiliência-continuidade-e-saída"/>
    <w:p>
      <w:pPr>
        <w:pStyle w:val="Heading1"/>
      </w:pPr>
      <w:r>
        <w:t xml:space="preserve">19. Resiliência, Continuidade e Saída</w:t>
      </w:r>
    </w:p>
    <w:p>
      <w:pPr>
        <w:pStyle w:val="Compact"/>
        <w:numPr>
          <w:ilvl w:val="0"/>
          <w:numId w:val="1031"/>
        </w:numPr>
      </w:pPr>
      <w:r>
        <w:t xml:space="preserve">Resiliência significa entregar resultados críticos, apesar da interrupção do fornecedor e deixando com segurança quando necessário.*</w:t>
      </w:r>
    </w:p>
    <w:bookmarkStart w:id="53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53"/>
    <w:bookmarkEnd w:id="54"/>
    <w:bookmarkStart w:id="57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/>
          <w:iCs/>
        </w:rPr>
        <w:t xml:space="preserve">NIST CSF 2.0 coloca a governança da cadeia de suprimentos na categoria GV.SC.</w:t>
      </w:r>
    </w:p>
    <w:bookmarkStart w:id="55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55"/>
    <w:bookmarkStart w:id="56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56"/>
    <w:bookmarkEnd w:id="57"/>
    <w:bookmarkStart w:id="59" w:name="nist-c-scrm-orientação-na-prática"/>
    <w:p>
      <w:pPr>
        <w:pStyle w:val="Heading1"/>
      </w:pPr>
      <w:r>
        <w:t xml:space="preserve">21. NIST C-SCRM Orientação na Prática</w:t>
      </w:r>
    </w:p>
    <w:p>
      <w:pPr>
        <w:pStyle w:val="Compact"/>
        <w:numPr>
          <w:ilvl w:val="0"/>
          <w:numId w:val="1033"/>
        </w:numPr>
      </w:pPr>
      <w:r>
        <w:t xml:space="preserve">As publicações atuais NIST fornecem orientações complementares sobre programa, avaliação e planejamento.*</w:t>
      </w:r>
    </w:p>
    <w:bookmarkStart w:id="58" w:name="publicação-papel-actual"/>
    <w:p>
      <w:pPr>
        <w:pStyle w:val="Heading2"/>
      </w:pPr>
      <w:r>
        <w:rPr>
          <w:b/>
          <w:bCs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58"/>
    <w:bookmarkEnd w:id="59"/>
    <w:bookmarkStart w:id="61" w:name="pensamento-de-três-níveis"/>
    <w:p>
      <w:pPr>
        <w:pStyle w:val="Heading1"/>
      </w:pPr>
      <w:r>
        <w:t xml:space="preserve"># 21,1 Pensamento de três níveis</w:t>
      </w:r>
    </w:p>
    <w:bookmarkStart w:id="60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60"/>
    <w:bookmarkEnd w:id="61"/>
    <w:bookmarkStart w:id="63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pStyle w:val="Compact"/>
        <w:numPr>
          <w:ilvl w:val="0"/>
          <w:numId w:val="1034"/>
        </w:numPr>
      </w:pPr>
      <w:r>
        <w:t xml:space="preserve">Os mapeamentos coordenam o trabalho, mas cada obrigação deve ser interpretada e testada em seus próprios termos.*</w:t>
      </w:r>
    </w:p>
    <w:bookmarkStart w:id="62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62"/>
    <w:bookmarkEnd w:id="63"/>
    <w:bookmarkStart w:id="66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/>
          <w:iCs/>
        </w:rPr>
        <w:t xml:space="preserve">Testing pergunta se os controles são corretamente projetados, implementados e operando para o escopo completo.</w:t>
      </w:r>
    </w:p>
    <w:p>
      <w:pPr>
        <w:pStyle w:val="BodyText"/>
      </w:pPr>
    </w:p>
    <w:p>
      <w:pPr>
        <w:pStyle w:val="BodyText"/>
      </w:pPr>
      <w:r>
        <w:t xml:space="preserve">Figura 9. Cadeia de testes de evidência</w:t>
      </w:r>
    </w:p>
    <w:bookmarkStart w:id="65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pStyle w:val="Heading2"/>
        <w:numPr>
          <w:ilvl w:val="0"/>
          <w:numId w:val="1035"/>
        </w:numPr>
      </w:pPr>
      <w:bookmarkStart w:id="64" w:name="X86179dcd7fbe5fe8ce156f57e535ae3b397de4c"/>
      <w:r>
        <w:t xml:space="preserve">** ** ** ** Cálculo de exemplo** ** ** O que ele pode revelar**</w:t>
      </w:r>
      <w:bookmarkEnd w:id="64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65"/>
    <w:bookmarkEnd w:id="66"/>
    <w:bookmarkStart w:id="69" w:name="ferramentas-de-código-aberto"/>
    <w:p>
      <w:pPr>
        <w:pStyle w:val="Heading1"/>
      </w:pPr>
      <w:r>
        <w:t xml:space="preserve">24. Ferramentas de Código Aberto</w:t>
      </w:r>
    </w:p>
    <w:p>
      <w:pPr>
        <w:pStyle w:val="Compact"/>
        <w:numPr>
          <w:ilvl w:val="0"/>
          <w:numId w:val="1036"/>
        </w:numPr>
      </w:pPr>
      <w:r>
        <w:t xml:space="preserve">Ferramentas de código aberto podem suportar inventário, evidência, garantia de software, testes técnicos, monitoramento e remediação.*</w:t>
      </w:r>
    </w:p>
    <w:bookmarkStart w:id="67" w:name="ferramenta-purpose"/>
    <w:p>
      <w:pPr>
        <w:pStyle w:val="Heading2"/>
      </w:pPr>
      <w:r>
        <w:t xml:space="preserve">*Ferramenta** *Purpose**</w:t>
      </w:r>
    </w:p>
    <w:p>
      <w:pPr>
        <w:pStyle w:val="Compact"/>
        <w:numPr>
          <w:ilvl w:val="0"/>
          <w:numId w:val="1037"/>
        </w:numPr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pStyle w:val="Compact"/>
        <w:numPr>
          <w:ilvl w:val="0"/>
          <w:numId w:val="1037"/>
        </w:numPr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pStyle w:val="Compact"/>
        <w:numPr>
          <w:ilvl w:val="0"/>
          <w:numId w:val="1037"/>
        </w:numPr>
      </w:pPr>
      <w:r>
        <w:t xml:space="preserve">OSV-Scanner * Verificações de vulnerabilidade conhecidas para dependências *</w:t>
      </w:r>
    </w:p>
    <w:p>
      <w:pPr>
        <w:pStyle w:val="Compact"/>
        <w:numPr>
          <w:ilvl w:val="0"/>
          <w:numId w:val="1037"/>
        </w:numPr>
      </w:pPr>
      <w:r>
        <w:t xml:space="preserve">DefectDojo * Encontrar ingestão, deduplicação, remediação e reteste *</w:t>
      </w:r>
    </w:p>
    <w:p>
      <w:pPr>
        <w:pStyle w:val="Compact"/>
        <w:numPr>
          <w:ilvl w:val="0"/>
          <w:numId w:val="1037"/>
        </w:numPr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pStyle w:val="Compact"/>
        <w:numPr>
          <w:ilvl w:val="0"/>
          <w:numId w:val="1037"/>
        </w:numPr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67"/>
    <w:bookmarkStart w:id="68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68"/>
    <w:bookmarkEnd w:id="69"/>
    <w:bookmarkStart w:id="71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70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71"/>
    <w:bookmarkStart w:id="73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72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73"/>
    <w:bookmarkStart w:id="77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74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76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75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76"/>
    <w:bookmarkEnd w:id="77"/>
    <w:bookmarkStart w:id="79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78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79"/>
    <w:bookmarkStart w:id="81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80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1"/>
    <w:bookmarkStart w:id="83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82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3"/>
    <w:bookmarkStart w:id="87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84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86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85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6"/>
    <w:bookmarkEnd w:id="87"/>
    <w:bookmarkStart w:id="89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8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9"/>
    <w:bookmarkStart w:id="91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90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1"/>
    <w:bookmarkStart w:id="93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9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3"/>
    <w:bookmarkStart w:id="95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9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5"/>
    <w:bookmarkStart w:id="97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96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7"/>
    <w:bookmarkStart w:id="99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9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9"/>
    <w:bookmarkStart w:id="101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0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1"/>
    <w:bookmarkStart w:id="103" w:name="playbook-de-tprm-do-gerente"/>
    <w:p>
      <w:pPr>
        <w:pStyle w:val="Heading1"/>
      </w:pPr>
      <w:r>
        <w:t xml:space="preserve">25. Playbook de TPRM do gerente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pStyle w:val="Heading2"/>
        <w:numPr>
          <w:ilvl w:val="0"/>
          <w:numId w:val="1038"/>
        </w:numPr>
      </w:pPr>
      <w:bookmarkStart w:id="102" w:name="Xb56cd5a87bf42f1975f9050a867341e00622698"/>
      <w:r>
        <w:t xml:space="preserve">** Área do tabuleiro** ** Pergunta do gestor** ** Escalar quando**</w:t>
      </w:r>
      <w:bookmarkEnd w:id="102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End w:id="103"/>
    <w:bookmarkStart w:id="104" w:name="gerenciar-ritmo-de-operação"/>
    <w:p>
      <w:pPr>
        <w:pStyle w:val="Heading1"/>
      </w:pPr>
      <w:r>
        <w:t xml:space="preserve"># 25.1 Gerenciar ritmo de operação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04"/>
    <w:bookmarkStart w:id="105" w:name="guia-de-carreira-do-analista-júnior"/>
    <w:p>
      <w:pPr>
        <w:pStyle w:val="Heading1"/>
      </w:pPr>
      <w:r>
        <w:t xml:space="preserve">26. Guia de Carreira do Analista Júnior</w:t>
      </w:r>
    </w:p>
    <w:p>
      <w:pPr>
        <w:pStyle w:val="Compact"/>
        <w:numPr>
          <w:ilvl w:val="0"/>
          <w:numId w:val="1039"/>
        </w:numPr>
      </w:pPr>
      <w:r>
        <w:t xml:space="preserve">Os analistas juniores criam valor produzindo inventários precisos, revisões de evidências, descobertas e acompanhamento.*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TPRM júnior</w:t>
      </w:r>
    </w:p>
    <w:bookmarkEnd w:id="105"/>
    <w:bookmarkStart w:id="106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06"/>
    <w:bookmarkStart w:id="108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07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07"/>
    <w:bookmarkEnd w:id="108"/>
    <w:bookmarkStart w:id="109" w:name="laboratório-fictício-e-portfólio"/>
    <w:p>
      <w:pPr>
        <w:pStyle w:val="Heading1"/>
      </w:pPr>
      <w:r>
        <w:t xml:space="preserve">27. Laboratório Fictício e Portfólio</w:t>
      </w:r>
    </w:p>
    <w:p>
      <w:pPr>
        <w:pStyle w:val="Compact"/>
        <w:numPr>
          <w:ilvl w:val="0"/>
          <w:numId w:val="1040"/>
        </w:numPr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09"/>
    <w:bookmarkStart w:id="111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pStyle w:val="Heading2"/>
        <w:numPr>
          <w:ilvl w:val="0"/>
          <w:numId w:val="1042"/>
        </w:numPr>
      </w:pPr>
      <w:bookmarkStart w:id="110" w:name="dias-foco-entrega"/>
      <w:r>
        <w:t xml:space="preserve">Dias** * Foco** * Entrega**</w:t>
      </w:r>
      <w:bookmarkEnd w:id="110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pStyle w:val="Compact"/>
        <w:numPr>
          <w:ilvl w:val="0"/>
          <w:numId w:val="1043"/>
        </w:numPr>
      </w:pPr>
      <w:r>
        <w:t xml:space="preserve">Preparação da entrevista</w:t>
      </w:r>
    </w:p>
    <w:p>
      <w:pPr>
        <w:pStyle w:val="Compact"/>
        <w:numPr>
          <w:ilvl w:val="0"/>
          <w:numId w:val="1044"/>
        </w:numPr>
      </w:pPr>
      <w:r>
        <w:t xml:space="preserve">As respostas de entrevista devem ser curtas, precisas e ligadas a exemplos.*</w:t>
      </w:r>
    </w:p>
    <w:bookmarkEnd w:id="111"/>
    <w:bookmarkStart w:id="112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12"/>
    <w:bookmarkStart w:id="113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13"/>
    <w:bookmarkStart w:id="120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14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14"/>
    <w:bookmarkStart w:id="115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15"/>
    <w:bookmarkStart w:id="116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16"/>
    <w:bookmarkStart w:id="117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17"/>
    <w:bookmarkStart w:id="118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18"/>
    <w:bookmarkStart w:id="119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19"/>
    <w:bookmarkEnd w:id="120"/>
    <w:bookmarkStart w:id="121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21"/>
    <w:bookmarkStart w:id="122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22"/>
    <w:bookmarkStart w:id="123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pStyle w:val="Compact"/>
        <w:numPr>
          <w:ilvl w:val="0"/>
          <w:numId w:val="1045"/>
        </w:numPr>
      </w:pPr>
      <w:r>
        <w:t xml:space="preserve">Estruturas reutilizáveis, termos-chave, índice de assunto e pontos de partida oficiais.*</w:t>
      </w:r>
    </w:p>
    <w:bookmarkEnd w:id="123"/>
    <w:bookmarkStart w:id="125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pStyle w:val="Heading2"/>
        <w:numPr>
          <w:ilvl w:val="0"/>
          <w:numId w:val="1046"/>
        </w:numPr>
      </w:pPr>
      <w:bookmarkStart w:id="124" w:name="campo-entrada"/>
      <w:r>
        <w:t xml:space="preserve">Campo** * Entrada**</w:t>
      </w:r>
      <w:bookmarkEnd w:id="124"/>
    </w:p>
    <w:p>
      <w:pPr>
        <w:pStyle w:val="Compact"/>
        <w:numPr>
          <w:ilvl w:val="0"/>
          <w:numId w:val="1000"/>
        </w:numPr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pStyle w:val="Compact"/>
        <w:numPr>
          <w:ilvl w:val="0"/>
          <w:numId w:val="1046"/>
        </w:numPr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pStyle w:val="Compact"/>
        <w:numPr>
          <w:ilvl w:val="0"/>
          <w:numId w:val="1046"/>
        </w:numPr>
      </w:pPr>
      <w:r>
        <w:t xml:space="preserve">Monitorização / incidente / estado de saída</w:t>
      </w:r>
    </w:p>
    <w:bookmarkEnd w:id="125"/>
    <w:bookmarkStart w:id="127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pStyle w:val="Compact"/>
        <w:numPr>
          <w:ilvl w:val="0"/>
          <w:numId w:val="1047"/>
        </w:numPr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pStyle w:val="Compact"/>
        <w:numPr>
          <w:ilvl w:val="0"/>
          <w:numId w:val="1047"/>
        </w:numPr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pStyle w:val="Compact"/>
        <w:numPr>
          <w:ilvl w:val="0"/>
          <w:numId w:val="1047"/>
        </w:numPr>
      </w:pPr>
      <w:r>
        <w:t xml:space="preserve">Listas das cadeias de abastecimento</w:t>
      </w:r>
    </w:p>
    <w:p>
      <w:pPr>
        <w:pStyle w:val="Compact"/>
        <w:numPr>
          <w:ilvl w:val="0"/>
          <w:numId w:val="1047"/>
        </w:numPr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26" w:name="revisão-da-garantia"/>
    <w:p>
      <w:pPr>
        <w:pStyle w:val="Heading2"/>
      </w:pPr>
      <w:r>
        <w:t xml:space="preserve">30.3 Revisão da garantia</w:t>
      </w:r>
    </w:p>
    <w:p>
      <w:pPr>
        <w:pStyle w:val="Compact"/>
        <w:numPr>
          <w:ilvl w:val="0"/>
          <w:numId w:val="1048"/>
        </w:numPr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pStyle w:val="Compact"/>
        <w:numPr>
          <w:ilvl w:val="0"/>
          <w:numId w:val="1048"/>
        </w:numPr>
      </w:pPr>
      <w:r>
        <w:t xml:space="preserve">Gaps / action / reteste *                                                   </w:t>
      </w:r>
    </w:p>
    <w:bookmarkEnd w:id="126"/>
    <w:bookmarkEnd w:id="127"/>
    <w:bookmarkStart w:id="129" w:name="registro-de-busca-e-exceção"/>
    <w:p>
      <w:pPr>
        <w:pStyle w:val="Heading1"/>
      </w:pPr>
      <w:r>
        <w:t xml:space="preserve"># 30.4 Registro de busca e exceção</w:t>
      </w:r>
    </w:p>
    <w:p>
      <w:pPr>
        <w:pStyle w:val="Compact"/>
        <w:numPr>
          <w:ilvl w:val="0"/>
          <w:numId w:val="1049"/>
        </w:numPr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pStyle w:val="Compact"/>
        <w:numPr>
          <w:ilvl w:val="0"/>
          <w:numId w:val="1049"/>
        </w:numPr>
      </w:pPr>
      <w:r>
        <w:t xml:space="preserve">Condição / população / evidência</w:t>
      </w:r>
    </w:p>
    <w:p>
      <w:pPr>
        <w:pStyle w:val="Compact"/>
        <w:numPr>
          <w:ilvl w:val="0"/>
          <w:numId w:val="1049"/>
        </w:numPr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pStyle w:val="Compact"/>
        <w:numPr>
          <w:ilvl w:val="0"/>
          <w:numId w:val="1049"/>
        </w:numPr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28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28"/>
    <w:bookmarkEnd w:id="129"/>
    <w:bookmarkStart w:id="131" w:name="glossário"/>
    <w:p>
      <w:pPr>
        <w:pStyle w:val="Heading1"/>
      </w:pPr>
      <w:r>
        <w:t xml:space="preserve"># 30.6 Glossário</w:t>
      </w:r>
    </w:p>
    <w:bookmarkStart w:id="130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30"/>
    <w:bookmarkEnd w:id="131"/>
    <w:bookmarkStart w:id="145" w:name="índice-de-assunto"/>
    <w:p>
      <w:pPr>
        <w:pStyle w:val="Heading1"/>
      </w:pPr>
      <w:r>
        <w:t xml:space="preserve"># 30.7 Índice de assunto</w:t>
      </w:r>
    </w:p>
    <w:bookmarkStart w:id="132" w:name="sujeito-capítulo"/>
    <w:p>
      <w:pPr>
        <w:pStyle w:val="Heading2"/>
      </w:pPr>
      <w:r>
        <w:rPr>
          <w:b/>
          <w:bCs/>
        </w:rPr>
        <w:t xml:space="preserve">Sujeito</w:t>
      </w:r>
      <w:r>
        <w:t xml:space="preserve"> </w:t>
      </w:r>
      <w:r>
        <w:rPr>
          <w:b/>
          <w:bCs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32"/>
    <w:bookmarkStart w:id="143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33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34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35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36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37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38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39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40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41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4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43"/>
    <w:bookmarkStart w:id="144" w:name="X3fc763f32871b302217f7620206116c0e53a941"/>
    <w:p>
      <w:pPr>
        <w:pStyle w:val="Heading2"/>
      </w:pPr>
      <w:r>
        <w:rPr>
          <w:b/>
          <w:bCs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29">
    <w:nsid w:val="0A994129"/>
    <w:multiLevelType w:val="multilevel"/>
    <w:lvl w:ilvl="0">
      <w:start w:val="29"/>
      <w:numFmt w:val="decimal"/>
      <w:lvlText w:val="%1."/>
      <w:lvlJc w:val="left"/>
      <w:pPr>
        <w:ind w:left="720" w:hanging="360"/>
      </w:pPr>
    </w:lvl>
    <w:lvl w:ilvl="1">
      <w:start w:val="29"/>
      <w:numFmt w:val="decimal"/>
      <w:lvlText w:val="%2."/>
      <w:lvlJc w:val="left"/>
      <w:pPr>
        <w:ind w:left="1440" w:hanging="360"/>
      </w:pPr>
    </w:lvl>
    <w:lvl w:ilvl="2">
      <w:start w:val="29"/>
      <w:numFmt w:val="decimal"/>
      <w:lvlText w:val="%3."/>
      <w:lvlJc w:val="left"/>
      <w:pPr>
        <w:ind w:left="2160" w:hanging="360"/>
      </w:pPr>
    </w:lvl>
    <w:lvl w:ilvl="3">
      <w:start w:val="29"/>
      <w:numFmt w:val="decimal"/>
      <w:lvlText w:val="%4."/>
      <w:lvlJc w:val="left"/>
      <w:pPr>
        <w:ind w:left="2880" w:hanging="360"/>
      </w:pPr>
    </w:lvl>
    <w:lvl w:ilvl="4">
      <w:start w:val="29"/>
      <w:numFmt w:val="decimal"/>
      <w:lvlText w:val="%5."/>
      <w:lvlJc w:val="left"/>
      <w:pPr>
        <w:ind w:left="3600" w:hanging="360"/>
      </w:pPr>
    </w:lvl>
    <w:lvl w:ilvl="5">
      <w:start w:val="29"/>
      <w:numFmt w:val="decimal"/>
      <w:lvlText w:val="%6."/>
      <w:lvlJc w:val="left"/>
      <w:pPr>
        <w:ind w:left="4320" w:hanging="360"/>
      </w:pPr>
    </w:lvl>
    <w:lvl w:ilvl="6">
      <w:start w:val="29"/>
      <w:numFmt w:val="decimal"/>
      <w:lvlText w:val="%7."/>
      <w:lvlJc w:val="left"/>
      <w:pPr>
        <w:ind w:left="5040" w:hanging="360"/>
      </w:pPr>
    </w:lvl>
    <w:lvl w:ilvl="7">
      <w:start w:val="29"/>
      <w:numFmt w:val="decimal"/>
      <w:lvlText w:val="%8."/>
      <w:lvlJc w:val="left"/>
      <w:pPr>
        <w:ind w:left="5760" w:hanging="360"/>
      </w:pPr>
    </w:lvl>
    <w:lvl w:ilvl="8">
      <w:start w:val="2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8" Target="https://csrc.nist.gov/Projects/cyber-supply-chain-risk-management/publications" TargetMode="External" /><Relationship Type="http://schemas.openxmlformats.org/officeDocument/2006/relationships/hyperlink" Id="rId136" Target="https://csrc.nist.gov/pubs/sp/1305/final" TargetMode="External" /><Relationship Type="http://schemas.openxmlformats.org/officeDocument/2006/relationships/hyperlink" Id="rId133" Target="https://csrc.nist.gov/pubs/sp/1326/final" TargetMode="External" /><Relationship Type="http://schemas.openxmlformats.org/officeDocument/2006/relationships/hyperlink" Id="rId135" Target="https://csrc.nist.gov/pubs/sp/800/161/r1/upd1/final" TargetMode="External" /><Relationship Type="http://schemas.openxmlformats.org/officeDocument/2006/relationships/hyperlink" Id="rId134" Target="https://csrc.nist.gov/pubs/sp/800/18/r2/final" TargetMode="External" /><Relationship Type="http://schemas.openxmlformats.org/officeDocument/2006/relationships/hyperlink" Id="rId74" Target="https://cyclonedx.org/" TargetMode="External" /><Relationship Type="http://schemas.openxmlformats.org/officeDocument/2006/relationships/hyperlink" Id="rId72" Target="https://dependencytrack.org/" TargetMode="External" /><Relationship Type="http://schemas.openxmlformats.org/officeDocument/2006/relationships/hyperlink" Id="rId78" Target="https://github.com/anchore/grype" TargetMode="External" /><Relationship Type="http://schemas.openxmlformats.org/officeDocument/2006/relationships/hyperlink" Id="rId75" Target="https://github.com/anchore/syft" TargetMode="External" /><Relationship Type="http://schemas.openxmlformats.org/officeDocument/2006/relationships/hyperlink" Id="rId85" Target="https://google.github.io/osv-scanner/" TargetMode="External" /><Relationship Type="http://schemas.openxmlformats.org/officeDocument/2006/relationships/hyperlink" Id="rId96" Target="https://greenbone.github.io/docs/latest/" TargetMode="External" /><Relationship Type="http://schemas.openxmlformats.org/officeDocument/2006/relationships/hyperlink" Id="rId84" Target="https://guac.sh/" TargetMode="External" /><Relationship Type="http://schemas.openxmlformats.org/officeDocument/2006/relationships/hyperlink" Id="rId70" Target="https://intuitem.github.io/ciso-assistant-community/" TargetMode="External" /><Relationship Type="http://schemas.openxmlformats.org/officeDocument/2006/relationships/hyperlink" Id="rId98" Target="https://nmap.org/" TargetMode="External" /><Relationship Type="http://schemas.openxmlformats.org/officeDocument/2006/relationships/hyperlink" Id="rId82" Target="https://scorecard.dev/" TargetMode="External" /><Relationship Type="http://schemas.openxmlformats.org/officeDocument/2006/relationships/hyperlink" Id="rId141" Target="https://scvs.owasp.org/" TargetMode="External" /><Relationship Type="http://schemas.openxmlformats.org/officeDocument/2006/relationships/hyperlink" Id="rId80" Target="https://trivy.dev/" TargetMode="External" /><Relationship Type="http://schemas.openxmlformats.org/officeDocument/2006/relationships/hyperlink" Id="rId90" Target="https://wazuh.com/" TargetMode="External" /><Relationship Type="http://schemas.openxmlformats.org/officeDocument/2006/relationships/hyperlink" Id="rId142" Target="https://www.bestpractices.dev/" TargetMode="External" /><Relationship Type="http://schemas.openxmlformats.org/officeDocument/2006/relationships/hyperlink" Id="rId139" Target="https://www.cisa.gov/ict-supply-chain-resource-library" TargetMode="External" /><Relationship Type="http://schemas.openxmlformats.org/officeDocument/2006/relationships/hyperlink" Id="rId140" Target="https://www.cisa.gov/resources-tools/groups/ict-supply-chain-risk-management-task-force" TargetMode="External" /><Relationship Type="http://schemas.openxmlformats.org/officeDocument/2006/relationships/hyperlink" Id="rId88" Target="https://www.defectdojo.org/" TargetMode="External" /><Relationship Type="http://schemas.openxmlformats.org/officeDocument/2006/relationships/hyperlink" Id="rId92" Target="https://www.keycloak.org/" TargetMode="External" /><Relationship Type="http://schemas.openxmlformats.org/officeDocument/2006/relationships/hyperlink" Id="rId137" Target="https://www.nist.gov/cyberframework" TargetMode="External" /><Relationship Type="http://schemas.openxmlformats.org/officeDocument/2006/relationships/hyperlink" Id="rId100" Target="https://www.openpolicyagent.org/" TargetMode="External" /><Relationship Type="http://schemas.openxmlformats.org/officeDocument/2006/relationships/hyperlink" Id="rId9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8" Target="https://csrc.nist.gov/Projects/cyber-supply-chain-risk-management/publications" TargetMode="External" /><Relationship Type="http://schemas.openxmlformats.org/officeDocument/2006/relationships/hyperlink" Id="rId136" Target="https://csrc.nist.gov/pubs/sp/1305/final" TargetMode="External" /><Relationship Type="http://schemas.openxmlformats.org/officeDocument/2006/relationships/hyperlink" Id="rId133" Target="https://csrc.nist.gov/pubs/sp/1326/final" TargetMode="External" /><Relationship Type="http://schemas.openxmlformats.org/officeDocument/2006/relationships/hyperlink" Id="rId135" Target="https://csrc.nist.gov/pubs/sp/800/161/r1/upd1/final" TargetMode="External" /><Relationship Type="http://schemas.openxmlformats.org/officeDocument/2006/relationships/hyperlink" Id="rId134" Target="https://csrc.nist.gov/pubs/sp/800/18/r2/final" TargetMode="External" /><Relationship Type="http://schemas.openxmlformats.org/officeDocument/2006/relationships/hyperlink" Id="rId74" Target="https://cyclonedx.org/" TargetMode="External" /><Relationship Type="http://schemas.openxmlformats.org/officeDocument/2006/relationships/hyperlink" Id="rId72" Target="https://dependencytrack.org/" TargetMode="External" /><Relationship Type="http://schemas.openxmlformats.org/officeDocument/2006/relationships/hyperlink" Id="rId78" Target="https://github.com/anchore/grype" TargetMode="External" /><Relationship Type="http://schemas.openxmlformats.org/officeDocument/2006/relationships/hyperlink" Id="rId75" Target="https://github.com/anchore/syft" TargetMode="External" /><Relationship Type="http://schemas.openxmlformats.org/officeDocument/2006/relationships/hyperlink" Id="rId85" Target="https://google.github.io/osv-scanner/" TargetMode="External" /><Relationship Type="http://schemas.openxmlformats.org/officeDocument/2006/relationships/hyperlink" Id="rId96" Target="https://greenbone.github.io/docs/latest/" TargetMode="External" /><Relationship Type="http://schemas.openxmlformats.org/officeDocument/2006/relationships/hyperlink" Id="rId84" Target="https://guac.sh/" TargetMode="External" /><Relationship Type="http://schemas.openxmlformats.org/officeDocument/2006/relationships/hyperlink" Id="rId70" Target="https://intuitem.github.io/ciso-assistant-community/" TargetMode="External" /><Relationship Type="http://schemas.openxmlformats.org/officeDocument/2006/relationships/hyperlink" Id="rId98" Target="https://nmap.org/" TargetMode="External" /><Relationship Type="http://schemas.openxmlformats.org/officeDocument/2006/relationships/hyperlink" Id="rId82" Target="https://scorecard.dev/" TargetMode="External" /><Relationship Type="http://schemas.openxmlformats.org/officeDocument/2006/relationships/hyperlink" Id="rId141" Target="https://scvs.owasp.org/" TargetMode="External" /><Relationship Type="http://schemas.openxmlformats.org/officeDocument/2006/relationships/hyperlink" Id="rId80" Target="https://trivy.dev/" TargetMode="External" /><Relationship Type="http://schemas.openxmlformats.org/officeDocument/2006/relationships/hyperlink" Id="rId90" Target="https://wazuh.com/" TargetMode="External" /><Relationship Type="http://schemas.openxmlformats.org/officeDocument/2006/relationships/hyperlink" Id="rId142" Target="https://www.bestpractices.dev/" TargetMode="External" /><Relationship Type="http://schemas.openxmlformats.org/officeDocument/2006/relationships/hyperlink" Id="rId139" Target="https://www.cisa.gov/ict-supply-chain-resource-library" TargetMode="External" /><Relationship Type="http://schemas.openxmlformats.org/officeDocument/2006/relationships/hyperlink" Id="rId140" Target="https://www.cisa.gov/resources-tools/groups/ict-supply-chain-risk-management-task-force" TargetMode="External" /><Relationship Type="http://schemas.openxmlformats.org/officeDocument/2006/relationships/hyperlink" Id="rId88" Target="https://www.defectdojo.org/" TargetMode="External" /><Relationship Type="http://schemas.openxmlformats.org/officeDocument/2006/relationships/hyperlink" Id="rId92" Target="https://www.keycloak.org/" TargetMode="External" /><Relationship Type="http://schemas.openxmlformats.org/officeDocument/2006/relationships/hyperlink" Id="rId137" Target="https://www.nist.gov/cyberframework" TargetMode="External" /><Relationship Type="http://schemas.openxmlformats.org/officeDocument/2006/relationships/hyperlink" Id="rId100" Target="https://www.openpolicyagent.org/" TargetMode="External" /><Relationship Type="http://schemas.openxmlformats.org/officeDocument/2006/relationships/hyperlink" Id="rId9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2026-07-28T18:04:14Z</dcterms:created>
  <dcterms:modified xsi:type="dcterms:W3CDTF">2026-07-28T18:04:14Z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