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44 — NIST SSDF / SP 800-218 Controlled Implementation</w:t>
      </w:r>
    </w:p>
    <w:p>
      <w:pPr>
        <w:spacing w:after="120"/>
      </w:pPr>
      <w:r>
        <w:t>**Controlled baseline:** NIST SP 800-218 SSDF v1.1 final and SP 800-218A final AI community profile. SP 800-218 Rev.1 / SSDF v1.2 remains change-watch unless reverified as final at release.</w:t>
      </w:r>
    </w:p>
    <w:p>
      <w:pPr>
        <w:pStyle w:val="Heading2"/>
      </w:pPr>
      <w:r>
        <w:t>Chapter 01 — Source and version hierarchy</w:t>
      </w:r>
    </w:p>
    <w:p>
      <w:pPr>
        <w:spacing w:after="120"/>
      </w:pPr>
      <w:r>
        <w:t>Maintain final-versus-draft status, authoritative URLs, publication dates, change watch, owners, and release-time reverification evidence.</w:t>
      </w:r>
    </w:p>
    <w:p>
      <w:pPr>
        <w:pStyle w:val="Heading2"/>
      </w:pPr>
      <w:r>
        <w:t>Chapter 02 — SSDF scope</w:t>
      </w:r>
    </w:p>
    <w:p>
      <w:pPr>
        <w:spacing w:after="120"/>
      </w:pPr>
      <w:r>
        <w:t>Define products, services, code, infrastructure, pipelines, suppliers, AI components, and lifecycle stages subject to secure-development governance.</w:t>
      </w:r>
    </w:p>
    <w:p>
      <w:pPr>
        <w:pStyle w:val="Heading2"/>
      </w:pPr>
      <w:r>
        <w:t>Chapter 03 — Prepare the Organization</w:t>
      </w:r>
    </w:p>
    <w:p>
      <w:pPr>
        <w:spacing w:after="120"/>
      </w:pPr>
      <w:r>
        <w:t>Establish policies, roles, resources, training, tooling, environments, risk methods, and governance needed to execute secure development.</w:t>
      </w:r>
    </w:p>
    <w:p>
      <w:pPr>
        <w:pStyle w:val="Heading2"/>
      </w:pPr>
      <w:r>
        <w:t>Chapter 04 — Protect the Software</w:t>
      </w:r>
    </w:p>
    <w:p>
      <w:pPr>
        <w:spacing w:after="120"/>
      </w:pPr>
      <w:r>
        <w:t>Protect source, repositories, build systems, credentials, artifacts, configurations, environments, and integrity-sensitive development assets.</w:t>
      </w:r>
    </w:p>
    <w:p>
      <w:pPr>
        <w:pStyle w:val="Heading2"/>
      </w:pPr>
      <w:r>
        <w:t>Chapter 05 — Produce Well-Secured Software</w:t>
      </w:r>
    </w:p>
    <w:p>
      <w:pPr>
        <w:spacing w:after="120"/>
      </w:pPr>
      <w:r>
        <w:t>Apply secure design, implementation, review, analysis, testing, dependency, configuration, and release-integrity practices throughout development.</w:t>
      </w:r>
    </w:p>
    <w:p>
      <w:pPr>
        <w:pStyle w:val="Heading2"/>
      </w:pPr>
      <w:r>
        <w:t>Chapter 06 — Respond to Vulnerabilities</w:t>
      </w:r>
    </w:p>
    <w:p>
      <w:pPr>
        <w:spacing w:after="120"/>
      </w:pPr>
      <w:r>
        <w:t>Operate intake, triage, analysis, remediation, disclosure, coordination, verification, metrics, and lessons-learned processes.</w:t>
      </w:r>
    </w:p>
    <w:p>
      <w:pPr>
        <w:pStyle w:val="Heading2"/>
      </w:pPr>
      <w:r>
        <w:t>Chapter 07 — Governance and roles</w:t>
      </w:r>
    </w:p>
    <w:p>
      <w:pPr>
        <w:spacing w:after="120"/>
      </w:pPr>
      <w:r>
        <w:t>Assign accountable owners across product, engineering, security, operations, procurement, legal, privacy, risk, and executive oversight.</w:t>
      </w:r>
    </w:p>
    <w:p>
      <w:pPr>
        <w:pStyle w:val="Heading2"/>
      </w:pPr>
      <w:r>
        <w:t>Chapter 08 — Secure design</w:t>
      </w:r>
    </w:p>
    <w:p>
      <w:pPr>
        <w:spacing w:after="120"/>
      </w:pPr>
      <w:r>
        <w:t>Define security requirements, misuse resistance, trust boundaries, secure defaults, data protections, privilege boundaries, and design evidence.</w:t>
      </w:r>
    </w:p>
    <w:p>
      <w:pPr>
        <w:pStyle w:val="Heading2"/>
      </w:pPr>
      <w:r>
        <w:t>Chapter 09 — Threat modeling</w:t>
      </w:r>
    </w:p>
    <w:p>
      <w:pPr>
        <w:spacing w:after="120"/>
      </w:pPr>
      <w:r>
        <w:t>Identify assets, adversaries, attack paths, abuse cases, dependencies, mitigations, residual risks, and review triggers.</w:t>
      </w:r>
    </w:p>
    <w:p>
      <w:pPr>
        <w:pStyle w:val="Heading2"/>
      </w:pPr>
      <w:r>
        <w:t>Chapter 10 — Architecture review</w:t>
      </w:r>
    </w:p>
    <w:p>
      <w:pPr>
        <w:spacing w:after="120"/>
      </w:pPr>
      <w:r>
        <w:t>Perform risk-based architecture review for trust, identity, data flow, isolation, cryptography, resilience, interfaces, and deployment assumptions.</w:t>
      </w:r>
    </w:p>
    <w:p>
      <w:pPr>
        <w:pStyle w:val="Heading2"/>
      </w:pPr>
      <w:r>
        <w:t>Chapter 11 — Source control</w:t>
      </w:r>
    </w:p>
    <w:p>
      <w:pPr>
        <w:spacing w:after="120"/>
      </w:pPr>
      <w:r>
        <w:t>Protect branches, commits, reviews, identities, permissions, repository settings, provenance, history, and emergency changes.</w:t>
      </w:r>
    </w:p>
    <w:p>
      <w:pPr>
        <w:pStyle w:val="Heading2"/>
      </w:pPr>
      <w:r>
        <w:t>Chapter 12 — Build integrity</w:t>
      </w:r>
    </w:p>
    <w:p>
      <w:pPr>
        <w:spacing w:after="120"/>
      </w:pPr>
      <w:r>
        <w:t>Secure build services, runners, compilers, dependencies, configuration, isolation, reproducibility, logging, artifacts, and privileged access.</w:t>
      </w:r>
    </w:p>
    <w:p>
      <w:pPr>
        <w:pStyle w:val="Heading2"/>
      </w:pPr>
      <w:r>
        <w:t>Chapter 13 — Dependency governance</w:t>
      </w:r>
    </w:p>
    <w:p>
      <w:pPr>
        <w:spacing w:after="120"/>
      </w:pPr>
      <w:r>
        <w:t>Inventory direct and transitive dependencies; assess provenance, vulnerabilities, licenses, maintenance, replacement risk, and update strategy.</w:t>
      </w:r>
    </w:p>
    <w:p>
      <w:pPr>
        <w:pStyle w:val="Heading2"/>
      </w:pPr>
      <w:r>
        <w:t>Chapter 14 — SBOM and provenance</w:t>
      </w:r>
    </w:p>
    <w:p>
      <w:pPr>
        <w:spacing w:after="120"/>
      </w:pPr>
      <w:r>
        <w:t>Generate and protect software bills of materials, origin metadata, build attestations, component relationships, retention, and release linkage.</w:t>
      </w:r>
    </w:p>
    <w:p>
      <w:pPr>
        <w:pStyle w:val="Heading2"/>
      </w:pPr>
      <w:r>
        <w:t>Chapter 15 — Secrets</w:t>
      </w:r>
    </w:p>
    <w:p>
      <w:pPr>
        <w:spacing w:after="120"/>
      </w:pPr>
      <w:r>
        <w:t>Prevent hard-coded secrets; control creation, storage, delivery, scanning, rotation, revocation, emergency response, and audit evidence.</w:t>
      </w:r>
    </w:p>
    <w:p>
      <w:pPr>
        <w:pStyle w:val="Heading2"/>
      </w:pPr>
      <w:r>
        <w:t>Chapter 16 — Secure coding</w:t>
      </w:r>
    </w:p>
    <w:p>
      <w:pPr>
        <w:spacing w:after="120"/>
      </w:pPr>
      <w:r>
        <w:t>Adopt language/framework-specific secure coding rules, input/output controls, error handling, memory safety, authentication, authorization, and data protections.</w:t>
      </w:r>
    </w:p>
    <w:p>
      <w:pPr>
        <w:pStyle w:val="Heading2"/>
      </w:pPr>
      <w:r>
        <w:t>Chapter 17 — Code review and static analysis</w:t>
      </w:r>
    </w:p>
    <w:p>
      <w:pPr>
        <w:spacing w:after="120"/>
      </w:pPr>
      <w:r>
        <w:t>Use peer review and automated analysis appropriate to risk; govern findings, suppressions, false positives, exceptions, and remediation evidence.</w:t>
      </w:r>
    </w:p>
    <w:p>
      <w:pPr>
        <w:pStyle w:val="Heading2"/>
      </w:pPr>
      <w:r>
        <w:t>Chapter 18 — Dynamic and security testing</w:t>
      </w:r>
    </w:p>
    <w:p>
      <w:pPr>
        <w:spacing w:after="120"/>
      </w:pPr>
      <w:r>
        <w:t>Use unit, integration, dynamic, fuzz, penetration, abuse-case, API, configuration, and other risk-based security testing with traceable results.</w:t>
      </w:r>
    </w:p>
    <w:p>
      <w:pPr>
        <w:pStyle w:val="Heading2"/>
      </w:pPr>
      <w:r>
        <w:t>Chapter 19 — CI/CD controls</w:t>
      </w:r>
    </w:p>
    <w:p>
      <w:pPr>
        <w:spacing w:after="120"/>
      </w:pPr>
      <w:r>
        <w:t>Protect pipeline definitions, identities, approvals, environments, artifacts, deployment rights, secrets, logs, rollback, and separation of duties.</w:t>
      </w:r>
    </w:p>
    <w:p>
      <w:pPr>
        <w:pStyle w:val="Heading2"/>
      </w:pPr>
      <w:r>
        <w:t>Chapter 20 — Environment separation</w:t>
      </w:r>
    </w:p>
    <w:p>
      <w:pPr>
        <w:spacing w:after="120"/>
      </w:pPr>
      <w:r>
        <w:t>Separate development, test, staging, production, signing, sensitive data, administrative access, and high-trust build activities according to risk.</w:t>
      </w:r>
    </w:p>
    <w:p>
      <w:pPr>
        <w:pStyle w:val="Heading2"/>
      </w:pPr>
      <w:r>
        <w:t>Chapter 21 — Release integrity, signing, and attestation</w:t>
      </w:r>
    </w:p>
    <w:p>
      <w:pPr>
        <w:spacing w:after="120"/>
      </w:pPr>
      <w:r>
        <w:t>Verify approved source, tests, dependencies, build provenance, signatures, attestations, checksums, release authorization, and distribution integrity.</w:t>
      </w:r>
    </w:p>
    <w:p>
      <w:pPr>
        <w:pStyle w:val="Heading2"/>
      </w:pPr>
      <w:r>
        <w:t>Chapter 22 — Vulnerability intake</w:t>
      </w:r>
    </w:p>
    <w:p>
      <w:pPr>
        <w:spacing w:after="120"/>
      </w:pPr>
      <w:r>
        <w:t>Provide internal and external reporting channels, coordinated disclosure routes, deduplication, severity intake, evidence preservation, and ownership.</w:t>
      </w:r>
    </w:p>
    <w:p>
      <w:pPr>
        <w:pStyle w:val="Heading2"/>
      </w:pPr>
      <w:r>
        <w:t>Chapter 23 — Remediation and prioritization</w:t>
      </w:r>
    </w:p>
    <w:p>
      <w:pPr>
        <w:spacing w:after="120"/>
      </w:pPr>
      <w:r>
        <w:t>Prioritize using exploitability, exposure, business impact, dependency reach, compensating controls, active exploitation, and customer/regulatory obligations.</w:t>
      </w:r>
    </w:p>
    <w:p>
      <w:pPr>
        <w:pStyle w:val="Heading2"/>
      </w:pPr>
      <w:r>
        <w:t>Chapter 24 — Supplier assurance</w:t>
      </w:r>
    </w:p>
    <w:p>
      <w:pPr>
        <w:spacing w:after="120"/>
      </w:pPr>
      <w:r>
        <w:t>Assess development suppliers, hosted services, components, build dependencies, support practices, incident duties, attestations, and corrective actions.</w:t>
      </w:r>
    </w:p>
    <w:p>
      <w:pPr>
        <w:pStyle w:val="Heading2"/>
      </w:pPr>
      <w:r>
        <w:t>Chapter 25 — Software acquisition</w:t>
      </w:r>
    </w:p>
    <w:p>
      <w:pPr>
        <w:spacing w:after="120"/>
      </w:pPr>
      <w:r>
        <w:t>Define secure-development requirements in acquisition, evaluate supplier evidence, risks, vulnerabilities, provenance, maintenance, and exit conditions.</w:t>
      </w:r>
    </w:p>
    <w:p>
      <w:pPr>
        <w:pStyle w:val="Heading2"/>
      </w:pPr>
      <w:r>
        <w:t>Chapter 26 — Incident feedback and lessons learned</w:t>
      </w:r>
    </w:p>
    <w:p>
      <w:pPr>
        <w:spacing w:after="120"/>
      </w:pPr>
      <w:r>
        <w:t>Feed incidents, vulnerabilities, near misses, red-team results, customer reports, and postmortems back into requirements, design, training, and controls.</w:t>
      </w:r>
    </w:p>
    <w:p>
      <w:pPr>
        <w:pStyle w:val="Heading2"/>
      </w:pPr>
      <w:r>
        <w:t>Chapter 27 — AI-development profile controls</w:t>
      </w:r>
    </w:p>
    <w:p>
      <w:pPr>
        <w:spacing w:after="120"/>
      </w:pPr>
      <w:r>
        <w:t>Apply SP 800-218A where relevant to AI model/code/data pipelines, including provenance, data dependencies, model artifacts, evaluation, misuse, and deployment safeguards.</w:t>
      </w:r>
    </w:p>
    <w:p>
      <w:pPr>
        <w:pStyle w:val="Heading2"/>
      </w:pPr>
      <w:r>
        <w:t>Chapter 28 — Federal and acquisition overlay boundaries</w:t>
      </w:r>
    </w:p>
    <w:p>
      <w:pPr>
        <w:spacing w:after="120"/>
      </w:pPr>
      <w:r>
        <w:t>Keep SSDF guidance distinct from agency mandates, procurement clauses, contractual obligations, sector rules, and organization-specific requirements.</w:t>
      </w:r>
    </w:p>
    <w:p>
      <w:pPr>
        <w:pStyle w:val="Heading2"/>
      </w:pPr>
      <w:r>
        <w:t>Chapter 29 — Evidence and metrics</w:t>
      </w:r>
    </w:p>
    <w:p>
      <w:pPr>
        <w:spacing w:after="120"/>
      </w:pPr>
      <w:r>
        <w:t>Track control adoption, pipeline coverage, vulnerability aging, secure-review rates, test results, dependency risk, provenance coverage, and exceptions.</w:t>
      </w:r>
    </w:p>
    <w:p>
      <w:pPr>
        <w:pStyle w:val="Heading2"/>
      </w:pPr>
      <w:r>
        <w:t>Chapter 30 — Exceptions and continual improvement</w:t>
      </w:r>
    </w:p>
    <w:p>
      <w:pPr>
        <w:spacing w:after="120"/>
      </w:pPr>
      <w:r>
        <w:t>Document exceptions, risk acceptance, compensating controls, expiry, reassessment, corrective actions, maturity improvements, and management review.</w:t>
      </w:r>
    </w:p>
    <w:p>
      <w:pPr>
        <w:pStyle w:val="Heading2"/>
      </w:pPr>
      <w:r>
        <w:t>Chapter 31 — Localization and provenance</w:t>
      </w:r>
    </w:p>
    <w:p>
      <w:pPr>
        <w:spacing w:after="120"/>
      </w:pPr>
      <w:r>
        <w:t>Freeze EN/es-419/pt-BR candidates; bind DOCX/PDF identities to SHA-256 and retain source-version, structure, parity, accessibility, render, security, and staging evidence.</w:t>
      </w:r>
    </w:p>
    <w:p>
      <w:pPr>
        <w:pStyle w:val="Heading2"/>
      </w:pPr>
      <w:r>
        <w:t>Chapter 32 — Draft watch and release-time reverification</w:t>
      </w:r>
    </w:p>
    <w:p>
      <w:pPr>
        <w:spacing w:after="120"/>
      </w:pPr>
      <w:r>
        <w:t>Immediately before publication, confirm NIST version status, predecessor Manual 43 publication, exact artifact identity, clean staged-head QA, and final registry reconciliation.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