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49 — NIST AI RMF 1.0 + NIST AI 600-1 GenAI Operational Guide</w:t>
      </w:r>
    </w:p>
    <w:p>
      <w:pPr>
        <w:spacing w:after="120"/>
      </w:pPr>
      <w:r>
        <w:t>**Status:** CONTROLLED DEVELOPMENT</w:t>
      </w:r>
    </w:p>
    <w:p>
      <w:pPr>
        <w:spacing w:after="120"/>
      </w:pPr>
      <w:r>
        <w:t>**Version:** 0.3.0-draft</w:t>
      </w:r>
    </w:p>
    <w:p>
      <w:pPr>
        <w:spacing w:after="120"/>
      </w:pPr>
      <w:r>
        <w:t>**Source verification date:** 1 September 2026</w:t>
      </w:r>
    </w:p>
    <w:p>
      <w:pPr>
        <w:spacing w:after="120"/>
      </w:pPr>
      <w:r>
        <w:t>**Canonical stage:** 3 — controlled English training package</w:t>
      </w:r>
    </w:p>
    <w:p>
      <w:pPr>
        <w:pStyle w:val="Heading2"/>
      </w:pPr>
      <w:r>
        <w:t>Purpose</w:t>
      </w:r>
    </w:p>
    <w:p>
      <w:pPr>
        <w:spacing w:after="120"/>
      </w:pPr>
      <w:r>
        <w:t>Turn NIST AI RMF 1.0 and NIST AI 600-1 into a practical enterprise risk-management and assurance program that maps cleanly to Manual 46's universal governance spine without treating voluntary NIST guidance as law or certification.</w:t>
      </w:r>
    </w:p>
    <w:p>
      <w:pPr>
        <w:pStyle w:val="Heading2"/>
      </w:pPr>
      <w:r>
        <w:t>Currency state</w:t>
      </w:r>
    </w:p>
    <w:p>
      <w:pPr>
        <w:spacing w:after="120"/>
      </w:pPr>
      <w:r>
        <w:t>Official NIST and AIRC sources verified on 1 September 2026 identify AI RMF 1.0 as the published baseline and explicitly state that it is being revised. NIST AI 600-1 remains the published Generative AI Profile. Candidate freeze and publication remain fail-closed on a fresh revision-status check.</w:t>
      </w:r>
    </w:p>
    <w:p>
      <w:pPr>
        <w:pStyle w:val="Heading2"/>
      </w:pPr>
      <w:r>
        <w:t>Stage-3 controlled package</w:t>
      </w:r>
    </w:p>
    <w:p>
      <w:pPr>
        <w:pStyle w:val="ListBullet"/>
      </w:pPr>
      <w:r>
        <w:t>authoritative-source register with current NIST revision state;</w:t>
      </w:r>
    </w:p>
    <w:p>
      <w:pPr>
        <w:pStyle w:val="ListBullet"/>
      </w:pPr>
      <w:r>
        <w:t>GOVERN/MAP/MEASURE/MANAGE operating architecture;</w:t>
      </w:r>
    </w:p>
    <w:p>
      <w:pPr>
        <w:pStyle w:val="ListBullet"/>
      </w:pPr>
      <w:r>
        <w:t>GenAI risk-extension architecture;</w:t>
      </w:r>
    </w:p>
    <w:p>
      <w:pPr>
        <w:pStyle w:val="ListBullet"/>
      </w:pPr>
      <w:r>
        <w:t>RAG/source-governance architecture;</w:t>
      </w:r>
    </w:p>
    <w:p>
      <w:pPr>
        <w:pStyle w:val="ListBullet"/>
      </w:pPr>
      <w:r>
        <w:t>third-party/model-provider architecture;</w:t>
      </w:r>
    </w:p>
    <w:p>
      <w:pPr>
        <w:pStyle w:val="ListBullet"/>
      </w:pPr>
      <w:r>
        <w:t>TEVV independence model;</w:t>
      </w:r>
    </w:p>
    <w:p>
      <w:pPr>
        <w:pStyle w:val="ListBullet"/>
      </w:pPr>
      <w:r>
        <w:t>full controlled-English training modules;</w:t>
      </w:r>
    </w:p>
    <w:p>
      <w:pPr>
        <w:pStyle w:val="ListBullet"/>
      </w:pPr>
      <w:r>
        <w:t>practical scenarios;</w:t>
      </w:r>
    </w:p>
    <w:p>
      <w:pPr>
        <w:pStyle w:val="ListBullet"/>
      </w:pPr>
      <w:r>
        <w:t>control/evidence workbook;</w:t>
      </w:r>
    </w:p>
    <w:p>
      <w:pPr>
        <w:pStyle w:val="ListBullet"/>
      </w:pPr>
      <w:r>
        <w:t>cross-framework non-equivalence rules;</w:t>
      </w:r>
    </w:p>
    <w:p>
      <w:pPr>
        <w:pStyle w:val="ListBullet"/>
      </w:pPr>
      <w:r>
        <w:t>updated fail-closed preflight.</w:t>
      </w:r>
    </w:p>
    <w:p>
      <w:pPr>
        <w:pStyle w:val="Heading2"/>
      </w:pPr>
      <w:r>
        <w:t>Practical operating model</w:t>
      </w:r>
    </w:p>
    <w:p>
      <w:pPr>
        <w:spacing w:after="120"/>
      </w:pPr>
      <w:r>
        <w:t>Use the four NIST functions as a continuous system rather than a sequential checklist:</w:t>
      </w:r>
    </w:p>
    <w:p>
      <w:pPr>
        <w:spacing w:after="120"/>
      </w:pPr>
      <w:r>
        <w:t>**GOVERN** establishes accountability, policy, culture and risk tolerance.</w:t>
      </w:r>
    </w:p>
    <w:p>
      <w:pPr>
        <w:spacing w:after="120"/>
      </w:pPr>
      <w:r>
        <w:t>**MAP** establishes context, intended use, affected parties, dependencies and impact.</w:t>
      </w:r>
    </w:p>
    <w:p>
      <w:pPr>
        <w:spacing w:after="120"/>
      </w:pPr>
      <w:r>
        <w:t>**MEASURE** evaluates performance, risk, uncertainty and control effectiveness.</w:t>
      </w:r>
    </w:p>
    <w:p>
      <w:pPr>
        <w:spacing w:after="120"/>
      </w:pPr>
      <w:r>
        <w:t>**MANAGE** prioritizes and treats risk, monitors outcomes and responds to change.</w:t>
      </w:r>
    </w:p>
    <w:p>
      <w:pPr>
        <w:spacing w:after="120"/>
      </w:pPr>
      <w:r>
        <w:t>Governance informs every other function throughout the lifecycle.</w:t>
      </w:r>
    </w:p>
    <w:p>
      <w:pPr>
        <w:pStyle w:val="Heading2"/>
      </w:pPr>
      <w:r>
        <w:t>Evidence model</w:t>
      </w:r>
    </w:p>
    <w:p>
      <w:pPr>
        <w:spacing w:after="120"/>
      </w:pPr>
      <w:r>
        <w:t>For each relevant AI RMF outcome or GenAI action, capture:</w:t>
      </w:r>
    </w:p>
    <w:p>
      <w:pPr>
        <w:spacing w:after="120"/>
      </w:pPr>
      <w:r>
        <w:t>**Outcome/action → organizational interpretation → control objective → control activity → owner → evidence → test procedure → finding/exception → remediation → residual risk**</w:t>
      </w:r>
    </w:p>
    <w:p>
      <w:pPr>
        <w:pStyle w:val="Heading2"/>
      </w:pPr>
      <w:r>
        <w:t>Publication gates</w:t>
      </w:r>
    </w:p>
    <w:p>
      <w:pPr>
        <w:pStyle w:val="ListBullet"/>
      </w:pPr>
      <w:r>
        <w:t>[x] Current NIST AI RMF revision status verified for controlled drafting.</w:t>
      </w:r>
    </w:p>
    <w:p>
      <w:pPr>
        <w:pStyle w:val="ListBullet"/>
      </w:pPr>
      <w:r>
        <w:t>[x] AI RMF operating architecture established.</w:t>
      </w:r>
    </w:p>
    <w:p>
      <w:pPr>
        <w:pStyle w:val="ListBullet"/>
      </w:pPr>
      <w:r>
        <w:t>[x] NIST AI 600-1 GenAI risk-extension architecture established.</w:t>
      </w:r>
    </w:p>
    <w:p>
      <w:pPr>
        <w:pStyle w:val="ListBullet"/>
      </w:pPr>
      <w:r>
        <w:t>[x] Playbook/AIRC current-state review completed.</w:t>
      </w:r>
    </w:p>
    <w:p>
      <w:pPr>
        <w:pStyle w:val="ListBullet"/>
      </w:pPr>
      <w:r>
        <w:t>[x] Controlled-English training modules complete.</w:t>
      </w:r>
    </w:p>
    <w:p>
      <w:pPr>
        <w:pStyle w:val="ListBullet"/>
      </w:pPr>
      <w:r>
        <w:t>[x] Practical scenarios and control/evidence workbook complete.</w:t>
      </w:r>
    </w:p>
    <w:p>
      <w:pPr>
        <w:pStyle w:val="ListBullet"/>
      </w:pPr>
      <w:r>
        <w:t>[ ] Release-depth outcome/action mappings complete.</w:t>
      </w:r>
    </w:p>
    <w:p>
      <w:pPr>
        <w:pStyle w:val="ListBullet"/>
      </w:pPr>
      <w:r>
        <w:t>[ ] Reverify NIST revision status at candidate freeze and publication.</w:t>
      </w:r>
    </w:p>
    <w:p>
      <w:pPr>
        <w:pStyle w:val="ListBullet"/>
      </w:pPr>
      <w:r>
        <w:t>[ ] Technical/TEVV and cross-framework mapping review complete where genuinely required.</w:t>
      </w:r>
    </w:p>
    <w:p>
      <w:pPr>
        <w:pStyle w:val="ListBullet"/>
      </w:pPr>
      <w:r>
        <w:t>[ ] Controlled localization and candidate tooling complete.</w:t>
      </w:r>
    </w:p>
    <w:p>
      <w:pPr>
        <w:pStyle w:val="ListBullet"/>
      </w:pPr>
      <w:r>
        <w:t>[ ] Accessibility/artifact/provenance/security gates complete.</w:t>
      </w:r>
    </w:p>
    <w:p>
      <w:pPr>
        <w:spacing w:after="120"/>
      </w:pPr>
      <w:r>
        <w:t>**Fail-closed:** Manual 49 remains one controlled stage behind Manual 48. A published NIST revision before candidate freeze requires changed-scope reconciliation; retained genuine-human review evidence may not be fabricated.</w:t>
      </w:r>
    </w:p>
    <w:p>
      <w:pPr>
        <w:pStyle w:val="Heading1"/>
      </w:pPr>
      <w:r>
        <w:t>Manual 49 — NIST AI RMF 1.0 + NIST AI 600-1 GenAI Training Modules</w:t>
      </w:r>
    </w:p>
    <w:p>
      <w:pPr>
        <w:spacing w:after="120"/>
      </w:pPr>
      <w:r>
        <w:t>**Controlled English draft — Stage 3**</w:t>
      </w:r>
    </w:p>
    <w:p>
      <w:pPr>
        <w:spacing w:after="120"/>
      </w:pPr>
      <w:r>
        <w:t>**Currentness baseline:** 1 September 2026</w:t>
      </w:r>
    </w:p>
    <w:p>
      <w:pPr>
        <w:pStyle w:val="Heading2"/>
      </w:pPr>
      <w:r>
        <w:t>Module 1 — NIST AI RMF as an operating system</w:t>
      </w:r>
    </w:p>
    <w:p>
      <w:pPr>
        <w:spacing w:after="120"/>
      </w:pPr>
      <w:r>
        <w:t>Treat GOVERN, MAP, MEASURE and MANAGE as a continuous risk-management cycle. GOVERN is cross-cutting; MAP establishes context; MEASURE tests and evaluates; MANAGE prioritises and treats risk. Every function feeds the others as the system, provider, data, environment and use case change.</w:t>
      </w:r>
    </w:p>
    <w:p>
      <w:pPr>
        <w:pStyle w:val="Heading3"/>
      </w:pPr>
      <w:r>
        <w:t>Evidence</w:t>
      </w:r>
    </w:p>
    <w:p>
      <w:pPr>
        <w:pStyle w:val="ListBullet"/>
      </w:pPr>
      <w:r>
        <w:t>AI governance charter and risk policy;</w:t>
      </w:r>
    </w:p>
    <w:p>
      <w:pPr>
        <w:pStyle w:val="ListBullet"/>
      </w:pPr>
      <w:r>
        <w:t>AI inventory and risk tiers;</w:t>
      </w:r>
    </w:p>
    <w:p>
      <w:pPr>
        <w:pStyle w:val="ListBullet"/>
      </w:pPr>
      <w:r>
        <w:t>use-case/context records;</w:t>
      </w:r>
    </w:p>
    <w:p>
      <w:pPr>
        <w:pStyle w:val="ListBullet"/>
      </w:pPr>
      <w:r>
        <w:t>evaluation/TEVV records;</w:t>
      </w:r>
    </w:p>
    <w:p>
      <w:pPr>
        <w:pStyle w:val="ListBullet"/>
      </w:pPr>
      <w:r>
        <w:t>risk-treatment decisions;</w:t>
      </w:r>
    </w:p>
    <w:p>
      <w:pPr>
        <w:pStyle w:val="ListBullet"/>
      </w:pPr>
      <w:r>
        <w:t>monitoring and incident evidence;</w:t>
      </w:r>
    </w:p>
    <w:p>
      <w:pPr>
        <w:pStyle w:val="ListBullet"/>
      </w:pPr>
      <w:r>
        <w:t>change/revalidation records.</w:t>
      </w:r>
    </w:p>
    <w:p>
      <w:pPr>
        <w:pStyle w:val="Heading2"/>
      </w:pPr>
      <w:r>
        <w:t>Module 2 — GOVERN: accountability and risk culture</w:t>
      </w:r>
    </w:p>
    <w:p>
      <w:pPr>
        <w:spacing w:after="120"/>
      </w:pPr>
      <w:r>
        <w:t>Establish accountable ownership, decision rights, policies, risk tolerance, competence, lifecycle governance, third-party governance, exception handling and management reporting.</w:t>
      </w:r>
    </w:p>
    <w:p>
      <w:pPr>
        <w:pStyle w:val="Heading3"/>
      </w:pPr>
      <w:r>
        <w:t>Control questions</w:t>
      </w:r>
    </w:p>
    <w:p>
      <w:pPr>
        <w:pStyle w:val="ListBullet"/>
      </w:pPr>
      <w:r>
        <w:t>Who owns the AI system and its residual risk?</w:t>
      </w:r>
    </w:p>
    <w:p>
      <w:pPr>
        <w:pStyle w:val="ListBullet"/>
      </w:pPr>
      <w:r>
        <w:t>Which roles can approve, restrict or suspend deployment?</w:t>
      </w:r>
    </w:p>
    <w:p>
      <w:pPr>
        <w:pStyle w:val="ListBullet"/>
      </w:pPr>
      <w:r>
        <w:t>How are security, privacy, safety, model risk, legal/compliance and business perspectives integrated?</w:t>
      </w:r>
    </w:p>
    <w:p>
      <w:pPr>
        <w:pStyle w:val="ListBullet"/>
      </w:pPr>
      <w:r>
        <w:t>What evidence shows governance actually operates?</w:t>
      </w:r>
    </w:p>
    <w:p>
      <w:pPr>
        <w:pStyle w:val="Heading2"/>
      </w:pPr>
      <w:r>
        <w:t>Module 3 — MAP: purpose, context and impacts</w:t>
      </w:r>
    </w:p>
    <w:p>
      <w:pPr>
        <w:spacing w:after="120"/>
      </w:pPr>
      <w:r>
        <w:t>Document intended purpose, deployment context, users, affected parties, data, dependencies, assumptions, benefits, foreseeable harms and misuse.</w:t>
      </w:r>
    </w:p>
    <w:p>
      <w:pPr>
        <w:pStyle w:val="Heading3"/>
      </w:pPr>
      <w:r>
        <w:t>Evidence</w:t>
      </w:r>
    </w:p>
    <w:p>
      <w:pPr>
        <w:pStyle w:val="ListBullet"/>
      </w:pPr>
      <w:r>
        <w:t>context/system diagram;</w:t>
      </w:r>
    </w:p>
    <w:p>
      <w:pPr>
        <w:pStyle w:val="ListBullet"/>
      </w:pPr>
      <w:r>
        <w:t>intended-use statement;</w:t>
      </w:r>
    </w:p>
    <w:p>
      <w:pPr>
        <w:pStyle w:val="ListBullet"/>
      </w:pPr>
      <w:r>
        <w:t>stakeholder/impact analysis;</w:t>
      </w:r>
    </w:p>
    <w:p>
      <w:pPr>
        <w:pStyle w:val="ListBullet"/>
      </w:pPr>
      <w:r>
        <w:t>data and RAG source map;</w:t>
      </w:r>
    </w:p>
    <w:p>
      <w:pPr>
        <w:pStyle w:val="ListBullet"/>
      </w:pPr>
      <w:r>
        <w:t>dependency inventory;</w:t>
      </w:r>
    </w:p>
    <w:p>
      <w:pPr>
        <w:pStyle w:val="ListBullet"/>
      </w:pPr>
      <w:r>
        <w:t>misuse/abuse cases;</w:t>
      </w:r>
    </w:p>
    <w:p>
      <w:pPr>
        <w:pStyle w:val="ListBullet"/>
      </w:pPr>
      <w:r>
        <w:t>limitations register.</w:t>
      </w:r>
    </w:p>
    <w:p>
      <w:pPr>
        <w:pStyle w:val="Heading2"/>
      </w:pPr>
      <w:r>
        <w:t>Module 4 — MEASURE: evaluation and TEVV</w:t>
      </w:r>
    </w:p>
    <w:p>
      <w:pPr>
        <w:spacing w:after="120"/>
      </w:pPr>
      <w:r>
        <w:t>Define acceptance criteria and test performance, robustness, security, privacy, uncertainty and control effectiveness under representative and adversarial conditions.</w:t>
      </w:r>
    </w:p>
    <w:p>
      <w:pPr>
        <w:pStyle w:val="Heading3"/>
      </w:pPr>
      <w:r>
        <w:t>TEVV record</w:t>
      </w:r>
    </w:p>
    <w:p>
      <w:pPr>
        <w:spacing w:after="120"/>
      </w:pPr>
      <w:r>
        <w:t>**claim → metric/test → data/test set → environment/version → result → uncertainty/limitation → finding → remediation → retest**</w:t>
      </w:r>
    </w:p>
    <w:p>
      <w:pPr>
        <w:pStyle w:val="Heading2"/>
      </w:pPr>
      <w:r>
        <w:t>Module 5 — MANAGE: risk treatment and lifecycle decisions</w:t>
      </w:r>
    </w:p>
    <w:p>
      <w:pPr>
        <w:spacing w:after="120"/>
      </w:pPr>
      <w:r>
        <w:t>Prioritise identified risks and decide whether to deploy, restrict, remediate, accept, monitor, suspend or retire. Link every material risk to a disposition and owner.</w:t>
      </w:r>
    </w:p>
    <w:p>
      <w:pPr>
        <w:pStyle w:val="Heading3"/>
      </w:pPr>
      <w:r>
        <w:t>Evidence</w:t>
      </w:r>
    </w:p>
    <w:p>
      <w:pPr>
        <w:pStyle w:val="ListBullet"/>
      </w:pPr>
      <w:r>
        <w:t>treatment plan;</w:t>
      </w:r>
    </w:p>
    <w:p>
      <w:pPr>
        <w:pStyle w:val="ListBullet"/>
      </w:pPr>
      <w:r>
        <w:t>deployment/exception decision;</w:t>
      </w:r>
    </w:p>
    <w:p>
      <w:pPr>
        <w:pStyle w:val="ListBullet"/>
      </w:pPr>
      <w:r>
        <w:t>residual-risk acceptance;</w:t>
      </w:r>
    </w:p>
    <w:p>
      <w:pPr>
        <w:pStyle w:val="ListBullet"/>
      </w:pPr>
      <w:r>
        <w:t>monitoring thresholds;</w:t>
      </w:r>
    </w:p>
    <w:p>
      <w:pPr>
        <w:pStyle w:val="ListBullet"/>
      </w:pPr>
      <w:r>
        <w:t>remediation tracking;</w:t>
      </w:r>
    </w:p>
    <w:p>
      <w:pPr>
        <w:pStyle w:val="ListBullet"/>
      </w:pPr>
      <w:r>
        <w:t>rollback/retirement plan.</w:t>
      </w:r>
    </w:p>
    <w:p>
      <w:pPr>
        <w:pStyle w:val="Heading2"/>
      </w:pPr>
      <w:r>
        <w:t>Module 6 — Trustworthiness characteristics</w:t>
      </w:r>
    </w:p>
    <w:p>
      <w:pPr>
        <w:spacing w:after="120"/>
      </w:pPr>
      <w:r>
        <w:t>Use NIST trustworthiness characteristics as design and evaluation considerations rather than a single composite score. Relevant considerations include validity/reliability, safety, security/resilience, accountability/transparency, explainability/interpretablity, privacy enhancement and fairness with harmful bias managed where applicable.</w:t>
      </w:r>
    </w:p>
    <w:p>
      <w:pPr>
        <w:pStyle w:val="Heading3"/>
      </w:pPr>
      <w:r>
        <w:t>Training rule</w:t>
      </w:r>
    </w:p>
    <w:p>
      <w:pPr>
        <w:spacing w:after="120"/>
      </w:pPr>
      <w:r>
        <w:t>Trade-offs must be explicit. Improving one characteristic may create cost, performance, privacy or operational effects elsewhere.</w:t>
      </w:r>
    </w:p>
    <w:p>
      <w:pPr>
        <w:pStyle w:val="Heading2"/>
      </w:pPr>
      <w:r>
        <w:t>Module 7 — NIST AI 600-1 GenAI profile</w:t>
      </w:r>
    </w:p>
    <w:p>
      <w:pPr>
        <w:spacing w:after="120"/>
      </w:pPr>
      <w:r>
        <w:t>Use AI 600-1 as a GenAI companion profile to extend AI RMF outcomes/actions for generative-AI risks. Maintain source status: voluntary NIST profile, not law or certification.</w:t>
      </w:r>
    </w:p>
    <w:p>
      <w:pPr>
        <w:pStyle w:val="Heading2"/>
      </w:pPr>
      <w:r>
        <w:t>Module 8 — Confabulation and information integrity</w:t>
      </w:r>
    </w:p>
    <w:p>
      <w:pPr>
        <w:pStyle w:val="Heading3"/>
      </w:pPr>
      <w:r>
        <w:t>Risks</w:t>
      </w:r>
    </w:p>
    <w:p>
      <w:pPr>
        <w:pStyle w:val="ListBullet"/>
      </w:pPr>
      <w:r>
        <w:t>plausible false output;</w:t>
      </w:r>
    </w:p>
    <w:p>
      <w:pPr>
        <w:pStyle w:val="ListBullet"/>
      </w:pPr>
      <w:r>
        <w:t>invented citations/facts;</w:t>
      </w:r>
    </w:p>
    <w:p>
      <w:pPr>
        <w:pStyle w:val="ListBullet"/>
      </w:pPr>
      <w:r>
        <w:t>stale or misleading information;</w:t>
      </w:r>
    </w:p>
    <w:p>
      <w:pPr>
        <w:pStyle w:val="ListBullet"/>
      </w:pPr>
      <w:r>
        <w:t>downstream automation based on incorrect content.</w:t>
      </w:r>
    </w:p>
    <w:p>
      <w:pPr>
        <w:pStyle w:val="Heading3"/>
      </w:pPr>
      <w:r>
        <w:t>Controls</w:t>
      </w:r>
    </w:p>
    <w:p>
      <w:pPr>
        <w:pStyle w:val="ListBullet"/>
      </w:pPr>
      <w:r>
        <w:t>task-specific evaluation;</w:t>
      </w:r>
    </w:p>
    <w:p>
      <w:pPr>
        <w:pStyle w:val="ListBullet"/>
      </w:pPr>
      <w:r>
        <w:t>source grounding/RAG where appropriate;</w:t>
      </w:r>
    </w:p>
    <w:p>
      <w:pPr>
        <w:pStyle w:val="ListBullet"/>
      </w:pPr>
      <w:r>
        <w:t>confidence/limitation communication;</w:t>
      </w:r>
    </w:p>
    <w:p>
      <w:pPr>
        <w:pStyle w:val="ListBullet"/>
      </w:pPr>
      <w:r>
        <w:t>human validation for consequential outputs;</w:t>
      </w:r>
    </w:p>
    <w:p>
      <w:pPr>
        <w:pStyle w:val="ListBullet"/>
      </w:pPr>
      <w:r>
        <w:t>output verification against authoritative sources;</w:t>
      </w:r>
    </w:p>
    <w:p>
      <w:pPr>
        <w:pStyle w:val="ListBullet"/>
      </w:pPr>
      <w:r>
        <w:t>monitoring of known failure classes.</w:t>
      </w:r>
    </w:p>
    <w:p>
      <w:pPr>
        <w:pStyle w:val="Heading2"/>
      </w:pPr>
      <w:r>
        <w:t>Module 9 — RAG and knowledge-source governance</w:t>
      </w:r>
    </w:p>
    <w:p>
      <w:pPr>
        <w:spacing w:after="120"/>
      </w:pPr>
      <w:r>
        <w:t>Control approved sources, provenance, authorisation, freshness, access inheritance, poisoning/tampering, sensitive data, retrieval quality and deletion/re-indexing.</w:t>
      </w:r>
    </w:p>
    <w:p>
      <w:pPr>
        <w:pStyle w:val="Heading3"/>
      </w:pPr>
      <w:r>
        <w:t>Tests</w:t>
      </w:r>
    </w:p>
    <w:p>
      <w:pPr>
        <w:pStyle w:val="ListBullet"/>
      </w:pPr>
      <w:r>
        <w:t>retrieval relevance;</w:t>
      </w:r>
    </w:p>
    <w:p>
      <w:pPr>
        <w:pStyle w:val="ListBullet"/>
      </w:pPr>
      <w:r>
        <w:t>groundedness;</w:t>
      </w:r>
    </w:p>
    <w:p>
      <w:pPr>
        <w:pStyle w:val="ListBullet"/>
      </w:pPr>
      <w:r>
        <w:t>poisoned-source resistance;</w:t>
      </w:r>
    </w:p>
    <w:p>
      <w:pPr>
        <w:pStyle w:val="ListBullet"/>
      </w:pPr>
      <w:r>
        <w:t>unauthorised-source retrieval;</w:t>
      </w:r>
    </w:p>
    <w:p>
      <w:pPr>
        <w:pStyle w:val="ListBullet"/>
      </w:pPr>
      <w:r>
        <w:t>stale-version detection;</w:t>
      </w:r>
    </w:p>
    <w:p>
      <w:pPr>
        <w:pStyle w:val="ListBullet"/>
      </w:pPr>
      <w:r>
        <w:t>sensitive-data leakage.</w:t>
      </w:r>
    </w:p>
    <w:p>
      <w:pPr>
        <w:pStyle w:val="Heading2"/>
      </w:pPr>
      <w:r>
        <w:t>Module 10 — Information security</w:t>
      </w:r>
    </w:p>
    <w:p>
      <w:pPr>
        <w:spacing w:after="120"/>
      </w:pPr>
      <w:r>
        <w:t>Threat model the complete system: model, prompts, RAG, agents/tools, APIs, identities, secrets, providers, runtime and downstream actions.</w:t>
      </w:r>
    </w:p>
    <w:p>
      <w:pPr>
        <w:pStyle w:val="Heading3"/>
      </w:pPr>
      <w:r>
        <w:t>Controls</w:t>
      </w:r>
    </w:p>
    <w:p>
      <w:pPr>
        <w:pStyle w:val="ListBullet"/>
      </w:pPr>
      <w:r>
        <w:t>identity and least privilege;</w:t>
      </w:r>
    </w:p>
    <w:p>
      <w:pPr>
        <w:pStyle w:val="ListBullet"/>
      </w:pPr>
      <w:r>
        <w:t>prompt/context boundary controls;</w:t>
      </w:r>
    </w:p>
    <w:p>
      <w:pPr>
        <w:pStyle w:val="ListBullet"/>
      </w:pPr>
      <w:r>
        <w:t>tool/API restrictions;</w:t>
      </w:r>
    </w:p>
    <w:p>
      <w:pPr>
        <w:pStyle w:val="ListBullet"/>
      </w:pPr>
      <w:r>
        <w:t>secrets protection;</w:t>
      </w:r>
    </w:p>
    <w:p>
      <w:pPr>
        <w:pStyle w:val="ListBullet"/>
      </w:pPr>
      <w:r>
        <w:t>data validation;</w:t>
      </w:r>
    </w:p>
    <w:p>
      <w:pPr>
        <w:pStyle w:val="ListBullet"/>
      </w:pPr>
      <w:r>
        <w:t>rate/resource limits;</w:t>
      </w:r>
    </w:p>
    <w:p>
      <w:pPr>
        <w:pStyle w:val="ListBullet"/>
      </w:pPr>
      <w:r>
        <w:t>logging/monitoring;</w:t>
      </w:r>
    </w:p>
    <w:p>
      <w:pPr>
        <w:pStyle w:val="ListBullet"/>
      </w:pPr>
      <w:r>
        <w:t>red teaming;</w:t>
      </w:r>
    </w:p>
    <w:p>
      <w:pPr>
        <w:pStyle w:val="ListBullet"/>
      </w:pPr>
      <w:r>
        <w:t>incident response.</w:t>
      </w:r>
    </w:p>
    <w:p>
      <w:pPr>
        <w:pStyle w:val="Heading2"/>
      </w:pPr>
      <w:r>
        <w:t>Module 11 — Privacy and sensitive data</w:t>
      </w:r>
    </w:p>
    <w:p>
      <w:pPr>
        <w:spacing w:after="120"/>
      </w:pPr>
      <w:r>
        <w:t>Map collection, prompts, retrieval sources, logs, provider processing, retention and model/data reuse. Apply minimisation, purpose/authority controls, access restrictions, retention and privacy testing as applicable.</w:t>
      </w:r>
    </w:p>
    <w:p>
      <w:pPr>
        <w:pStyle w:val="Heading2"/>
      </w:pPr>
      <w:r>
        <w:t>Module 12 — Human-AI configuration and overreliance</w:t>
      </w:r>
    </w:p>
    <w:p>
      <w:pPr>
        <w:spacing w:after="120"/>
      </w:pPr>
      <w:r>
        <w:t>Assess where users may defer excessively to model output. Define training, review thresholds, independent checks, override mechanisms and monitoring of disagreement/override rates.</w:t>
      </w:r>
    </w:p>
    <w:p>
      <w:pPr>
        <w:pStyle w:val="Heading2"/>
      </w:pPr>
      <w:r>
        <w:t>Module 13 — Harmful bias and representational risk</w:t>
      </w:r>
    </w:p>
    <w:p>
      <w:pPr>
        <w:spacing w:after="120"/>
      </w:pPr>
      <w:r>
        <w:t>Where relevant to the use case, evaluate performance and impacts across appropriate populations/contexts. Avoid unsupported fairness claims and document limitations in data, metrics and interpretation.</w:t>
      </w:r>
    </w:p>
    <w:p>
      <w:pPr>
        <w:pStyle w:val="Heading2"/>
      </w:pPr>
      <w:r>
        <w:t>Module 14 — Intellectual property and provenance</w:t>
      </w:r>
    </w:p>
    <w:p>
      <w:pPr>
        <w:spacing w:after="120"/>
      </w:pPr>
      <w:r>
        <w:t>Track material source provenance and contractual/usage restrictions where relevant. Separate legal conclusions from technical provenance controls. Escalate legal ambiguity rather than encoding an unsupported rule into the model workflow.</w:t>
      </w:r>
    </w:p>
    <w:p>
      <w:pPr>
        <w:pStyle w:val="Heading2"/>
      </w:pPr>
      <w:r>
        <w:t>Module 15 — Third-party model/provider risk</w:t>
      </w:r>
    </w:p>
    <w:p>
      <w:pPr>
        <w:spacing w:after="120"/>
      </w:pPr>
      <w:r>
        <w:t>Maintain model/provider identity, material version, data-processing commitments, security/privacy controls, incident/change notification, continuity/exit provisions and revalidation triggers.</w:t>
      </w:r>
    </w:p>
    <w:p>
      <w:pPr>
        <w:pStyle w:val="Heading3"/>
      </w:pPr>
      <w:r>
        <w:t>Change triggers</w:t>
      </w:r>
    </w:p>
    <w:p>
      <w:pPr>
        <w:pStyle w:val="ListBullet"/>
      </w:pPr>
      <w:r>
        <w:t>provider/model replacement;</w:t>
      </w:r>
    </w:p>
    <w:p>
      <w:pPr>
        <w:pStyle w:val="ListBullet"/>
      </w:pPr>
      <w:r>
        <w:t>capability expansion;</w:t>
      </w:r>
    </w:p>
    <w:p>
      <w:pPr>
        <w:pStyle w:val="ListBullet"/>
      </w:pPr>
      <w:r>
        <w:t>changed safety policy;</w:t>
      </w:r>
    </w:p>
    <w:p>
      <w:pPr>
        <w:pStyle w:val="ListBullet"/>
      </w:pPr>
      <w:r>
        <w:t>new training/data-use commitment;</w:t>
      </w:r>
    </w:p>
    <w:p>
      <w:pPr>
        <w:pStyle w:val="ListBullet"/>
      </w:pPr>
      <w:r>
        <w:t>API/tool behavior change;</w:t>
      </w:r>
    </w:p>
    <w:p>
      <w:pPr>
        <w:pStyle w:val="ListBullet"/>
      </w:pPr>
      <w:r>
        <w:t>changed geography/hosting;</w:t>
      </w:r>
    </w:p>
    <w:p>
      <w:pPr>
        <w:pStyle w:val="ListBullet"/>
      </w:pPr>
      <w:r>
        <w:t>material performance shift.</w:t>
      </w:r>
    </w:p>
    <w:p>
      <w:pPr>
        <w:pStyle w:val="Heading2"/>
      </w:pPr>
      <w:r>
        <w:t>Module 16 — Red teaming and adversarial evaluation</w:t>
      </w:r>
    </w:p>
    <w:p>
      <w:pPr>
        <w:spacing w:after="120"/>
      </w:pPr>
      <w:r>
        <w:t>Scale adversarial testing to materiality. Include prompt injection, jailbreak/unsafe content where relevant, data leakage, RAG poisoning, privilege/tool abuse, denial/resource exhaustion, misleading outputs and containment/recovery.</w:t>
      </w:r>
    </w:p>
    <w:p>
      <w:pPr>
        <w:pStyle w:val="Heading2"/>
      </w:pPr>
      <w:r>
        <w:t>Module 17 — Monitoring and KRIs</w:t>
      </w:r>
    </w:p>
    <w:p>
      <w:pPr>
        <w:spacing w:after="120"/>
      </w:pPr>
      <w:r>
        <w:t>Monitor operational performance, safety/security events, evaluation drift, provider changes, user complaints, override patterns, policy denials, incidents and unresolved findings.</w:t>
      </w:r>
    </w:p>
    <w:p>
      <w:pPr>
        <w:pStyle w:val="Heading3"/>
      </w:pPr>
      <w:r>
        <w:t>Example KRIs</w:t>
      </w:r>
    </w:p>
    <w:p>
      <w:pPr>
        <w:pStyle w:val="ListBullet"/>
      </w:pPr>
      <w:r>
        <w:t>evaluation failure rate;</w:t>
      </w:r>
    </w:p>
    <w:p>
      <w:pPr>
        <w:pStyle w:val="ListBullet"/>
      </w:pPr>
      <w:r>
        <w:t>groundedness/citation failure;</w:t>
      </w:r>
    </w:p>
    <w:p>
      <w:pPr>
        <w:pStyle w:val="ListBullet"/>
      </w:pPr>
      <w:r>
        <w:t>security-policy denials;</w:t>
      </w:r>
    </w:p>
    <w:p>
      <w:pPr>
        <w:pStyle w:val="ListBullet"/>
      </w:pPr>
      <w:r>
        <w:t>high-impact human overrides;</w:t>
      </w:r>
    </w:p>
    <w:p>
      <w:pPr>
        <w:pStyle w:val="ListBullet"/>
      </w:pPr>
      <w:r>
        <w:t>unresolved critical findings;</w:t>
      </w:r>
    </w:p>
    <w:p>
      <w:pPr>
        <w:pStyle w:val="ListBullet"/>
      </w:pPr>
      <w:r>
        <w:t>provider changes awaiting revalidation;</w:t>
      </w:r>
    </w:p>
    <w:p>
      <w:pPr>
        <w:pStyle w:val="ListBullet"/>
      </w:pPr>
      <w:r>
        <w:t>AI incidents/near misses.</w:t>
      </w:r>
    </w:p>
    <w:p>
      <w:pPr>
        <w:pStyle w:val="Heading2"/>
      </w:pPr>
      <w:r>
        <w:t>Module 18 — Incident response</w:t>
      </w:r>
    </w:p>
    <w:p>
      <w:pPr>
        <w:spacing w:after="120"/>
      </w:pPr>
      <w:r>
        <w:t>Integrate AI/GenAI incidents into enterprise incident response. Preserve model/provider/version, prompts/context, RAG/tool evidence, affected users/data, containment actions and root-cause/remediation records.</w:t>
      </w:r>
    </w:p>
    <w:p>
      <w:pPr>
        <w:pStyle w:val="Heading2"/>
      </w:pPr>
      <w:r>
        <w:t>Module 19 — Change management and revalidation</w:t>
      </w:r>
    </w:p>
    <w:p>
      <w:pPr>
        <w:spacing w:after="120"/>
      </w:pPr>
      <w:r>
        <w:t>Material changes to model, prompt/system instructions, provider, RAG sources, tools, permissions, data, evaluation assumptions, use case or population trigger proportionate reassessment and revalidation.</w:t>
      </w:r>
    </w:p>
    <w:p>
      <w:pPr>
        <w:pStyle w:val="Heading2"/>
      </w:pPr>
      <w:r>
        <w:t>Module 20 — Independent challenge and assurance</w:t>
      </w:r>
    </w:p>
    <w:p>
      <w:pPr>
        <w:spacing w:after="120"/>
      </w:pPr>
      <w:r>
        <w:t>Scale independence to risk. Developer self-testing may be adequate for low-risk routine use; high-impact systems may require independent internal review, specialist red teaming or external assurance where applicable.</w:t>
      </w:r>
    </w:p>
    <w:p>
      <w:pPr>
        <w:pStyle w:val="Heading3"/>
      </w:pPr>
      <w:r>
        <w:t>Assurance rule</w:t>
      </w:r>
    </w:p>
    <w:p>
      <w:pPr>
        <w:spacing w:after="120"/>
      </w:pPr>
      <w:r>
        <w:t>NIST does not certify implementation through AI RMF alignment. Assurance claims must describe the actual scope, evidence, tests, limitations and residual risk.</w:t>
      </w:r>
    </w:p>
    <w:p>
      <w:pPr>
        <w:pStyle w:val="Heading2"/>
      </w:pPr>
      <w:r>
        <w:t>Module 21 — Cross-framework mapping</w:t>
      </w:r>
    </w:p>
    <w:p>
      <w:pPr>
        <w:spacing w:after="120"/>
      </w:pPr>
      <w:r>
        <w:t>Map NIST outcomes/actions to Manual 46 common controls and, where useful, to EU AI Act, ISO/IEC 42001 and Singapore governance. Every mapping records relationship type and differences. Similar language does not imply identical obligations.</w:t>
      </w:r>
    </w:p>
    <w:p>
      <w:pPr>
        <w:pStyle w:val="Heading2"/>
      </w:pPr>
      <w:r>
        <w:t>Module 22 — 30/60/90-day enterprise implementation</w:t>
      </w:r>
    </w:p>
    <w:p>
      <w:pPr>
        <w:pStyle w:val="Heading3"/>
      </w:pPr>
      <w:r>
        <w:t>30 days</w:t>
      </w:r>
    </w:p>
    <w:p>
      <w:pPr>
        <w:pStyle w:val="ListBullet"/>
      </w:pPr>
      <w:r>
        <w:t>establish governance ownership;</w:t>
      </w:r>
    </w:p>
    <w:p>
      <w:pPr>
        <w:pStyle w:val="ListBullet"/>
      </w:pPr>
      <w:r>
        <w:t>inventory AI/GenAI systems;</w:t>
      </w:r>
    </w:p>
    <w:p>
      <w:pPr>
        <w:pStyle w:val="ListBullet"/>
      </w:pPr>
      <w:r>
        <w:t>define risk tiering;</w:t>
      </w:r>
    </w:p>
    <w:p>
      <w:pPr>
        <w:pStyle w:val="ListBullet"/>
      </w:pPr>
      <w:r>
        <w:t>document highest-risk use cases and dependencies;</w:t>
      </w:r>
    </w:p>
    <w:p>
      <w:pPr>
        <w:pStyle w:val="ListBullet"/>
      </w:pPr>
      <w:r>
        <w:t>establish evaluation/evidence repository.</w:t>
      </w:r>
    </w:p>
    <w:p>
      <w:pPr>
        <w:pStyle w:val="Heading3"/>
      </w:pPr>
      <w:r>
        <w:t>60 days</w:t>
      </w:r>
    </w:p>
    <w:p>
      <w:pPr>
        <w:pStyle w:val="ListBullet"/>
      </w:pPr>
      <w:r>
        <w:t>complete MAP records;</w:t>
      </w:r>
    </w:p>
    <w:p>
      <w:pPr>
        <w:pStyle w:val="ListBullet"/>
      </w:pPr>
      <w:r>
        <w:t>implement TEVV/evaluation plans;</w:t>
      </w:r>
    </w:p>
    <w:p>
      <w:pPr>
        <w:pStyle w:val="ListBullet"/>
      </w:pPr>
      <w:r>
        <w:t>establish provider/RAG controls;</w:t>
      </w:r>
    </w:p>
    <w:p>
      <w:pPr>
        <w:pStyle w:val="ListBullet"/>
      </w:pPr>
      <w:r>
        <w:t>define monitoring and incident procedures;</w:t>
      </w:r>
    </w:p>
    <w:p>
      <w:pPr>
        <w:pStyle w:val="ListBullet"/>
      </w:pPr>
      <w:r>
        <w:t>close critical control gaps.</w:t>
      </w:r>
    </w:p>
    <w:p>
      <w:pPr>
        <w:pStyle w:val="Heading3"/>
      </w:pPr>
      <w:r>
        <w:t>90 days</w:t>
      </w:r>
    </w:p>
    <w:p>
      <w:pPr>
        <w:pStyle w:val="ListBullet"/>
      </w:pPr>
      <w:r>
        <w:t>execute independent challenge for material systems;</w:t>
      </w:r>
    </w:p>
    <w:p>
      <w:pPr>
        <w:pStyle w:val="ListBullet"/>
      </w:pPr>
      <w:r>
        <w:t>test revalidation/change process;</w:t>
      </w:r>
    </w:p>
    <w:p>
      <w:pPr>
        <w:pStyle w:val="ListBullet"/>
      </w:pPr>
      <w:r>
        <w:t>report KRIs and residual risk;</w:t>
      </w:r>
    </w:p>
    <w:p>
      <w:pPr>
        <w:pStyle w:val="ListBullet"/>
      </w:pPr>
      <w:r>
        <w:t>complete remediation cycle;</w:t>
      </w:r>
    </w:p>
    <w:p>
      <w:pPr>
        <w:pStyle w:val="ListBullet"/>
      </w:pPr>
      <w:r>
        <w:t>institutionalise continuous GOVERN/MAP/MEASURE/MANAGE feedback.</w:t>
      </w:r>
    </w:p>
    <w:p>
      <w:pPr>
        <w:pStyle w:val="Heading2"/>
      </w:pPr>
      <w:r>
        <w:t>Completion standard</w:t>
      </w:r>
    </w:p>
    <w:p>
      <w:pPr>
        <w:spacing w:after="120"/>
      </w:pPr>
      <w:r>
        <w:t>A learner completes Manual 49 when they can take an AI/GenAI use case through GOVERN, MAP, MEASURE and MANAGE, produce auditable evidence and testing, treat GenAI-specific risks through NIST AI 600-1, and explain limitations without claiming legal compliance or certification from NIST alignment.</w:t>
      </w:r>
    </w:p>
    <w:p>
      <w:pPr>
        <w:pStyle w:val="Heading1"/>
      </w:pPr>
      <w:r>
        <w:t>Manual 49 — Practical Scenarios</w:t>
      </w:r>
    </w:p>
    <w:p>
      <w:pPr>
        <w:pStyle w:val="Heading2"/>
      </w:pPr>
      <w:r>
        <w:t>Scenario 1 — Enterprise GenAI assistant</w:t>
      </w:r>
    </w:p>
    <w:p>
      <w:pPr>
        <w:spacing w:after="120"/>
      </w:pPr>
      <w:r>
        <w:t>A company deploys a GenAI assistant over internal policies and customer procedures.</w:t>
      </w:r>
    </w:p>
    <w:p>
      <w:pPr>
        <w:pStyle w:val="Heading3"/>
      </w:pPr>
      <w:r>
        <w:t>GOVERN</w:t>
      </w:r>
    </w:p>
    <w:p>
      <w:pPr>
        <w:spacing w:after="120"/>
      </w:pPr>
      <w:r>
        <w:t>Assign owner, risk tier, policies, provider oversight and decision rights.</w:t>
      </w:r>
    </w:p>
    <w:p>
      <w:pPr>
        <w:pStyle w:val="Heading3"/>
      </w:pPr>
      <w:r>
        <w:t>MAP</w:t>
      </w:r>
    </w:p>
    <w:p>
      <w:pPr>
        <w:spacing w:after="120"/>
      </w:pPr>
      <w:r>
        <w:t>Document users, intended purpose, RAG sources, affected data, foreseeable misuse and dependencies.</w:t>
      </w:r>
    </w:p>
    <w:p>
      <w:pPr>
        <w:pStyle w:val="Heading3"/>
      </w:pPr>
      <w:r>
        <w:t>MEASURE</w:t>
      </w:r>
    </w:p>
    <w:p>
      <w:pPr>
        <w:spacing w:after="120"/>
      </w:pPr>
      <w:r>
        <w:t>Test retrieval relevance, groundedness, hallucination, sensitive-data leakage and unsafe responses.</w:t>
      </w:r>
    </w:p>
    <w:p>
      <w:pPr>
        <w:pStyle w:val="Heading3"/>
      </w:pPr>
      <w:r>
        <w:t>MANAGE</w:t>
      </w:r>
    </w:p>
    <w:p>
      <w:pPr>
        <w:spacing w:after="120"/>
      </w:pPr>
      <w:r>
        <w:t>Set deployment limits, human escalation, monitoring thresholds, provider-change triggers and incident procedures.</w:t>
      </w:r>
    </w:p>
    <w:p>
      <w:pPr>
        <w:pStyle w:val="Heading2"/>
      </w:pPr>
      <w:r>
        <w:t>Scenario 2 — High-impact hiring support</w:t>
      </w:r>
    </w:p>
    <w:p>
      <w:pPr>
        <w:spacing w:after="120"/>
      </w:pPr>
      <w:r>
        <w:t>A GenAI system summarises candidate materials and proposes interview priorities.</w:t>
      </w:r>
    </w:p>
    <w:p>
      <w:pPr>
        <w:spacing w:after="120"/>
      </w:pPr>
      <w:r>
        <w:t>Learners must identify human-AI configuration risk, overreliance, performance/fairness concerns where relevant, privacy, vendor/data issues and evidence needed for independent challenge. The final decision authority must remain explicit.</w:t>
      </w:r>
    </w:p>
    <w:p>
      <w:pPr>
        <w:pStyle w:val="Heading2"/>
      </w:pPr>
      <w:r>
        <w:t>Scenario 3 — RAG poisoning</w:t>
      </w:r>
    </w:p>
    <w:p>
      <w:pPr>
        <w:spacing w:after="120"/>
      </w:pPr>
      <w:r>
        <w:t>An internal knowledge base contains a malicious or incorrect document that instructs the model to ignore policy and expose sensitive information.</w:t>
      </w:r>
    </w:p>
    <w:p>
      <w:pPr>
        <w:pStyle w:val="Heading3"/>
      </w:pPr>
      <w:r>
        <w:t>Required controls</w:t>
      </w:r>
    </w:p>
    <w:p>
      <w:pPr>
        <w:pStyle w:val="ListBullet"/>
      </w:pPr>
      <w:r>
        <w:t>controlled ingestion and source provenance;</w:t>
      </w:r>
    </w:p>
    <w:p>
      <w:pPr>
        <w:pStyle w:val="ListBullet"/>
      </w:pPr>
      <w:r>
        <w:t>content trust classification;</w:t>
      </w:r>
    </w:p>
    <w:p>
      <w:pPr>
        <w:pStyle w:val="ListBullet"/>
      </w:pPr>
      <w:r>
        <w:t>retrieval/access controls;</w:t>
      </w:r>
    </w:p>
    <w:p>
      <w:pPr>
        <w:pStyle w:val="ListBullet"/>
      </w:pPr>
      <w:r>
        <w:t>prompt/context isolation;</w:t>
      </w:r>
    </w:p>
    <w:p>
      <w:pPr>
        <w:pStyle w:val="ListBullet"/>
      </w:pPr>
      <w:r>
        <w:t>adversarial testing;</w:t>
      </w:r>
    </w:p>
    <w:p>
      <w:pPr>
        <w:pStyle w:val="ListBullet"/>
      </w:pPr>
      <w:r>
        <w:t>source removal/re-indexing;</w:t>
      </w:r>
    </w:p>
    <w:p>
      <w:pPr>
        <w:pStyle w:val="ListBullet"/>
      </w:pPr>
      <w:r>
        <w:t>incident reconstruction.</w:t>
      </w:r>
    </w:p>
    <w:p>
      <w:pPr>
        <w:pStyle w:val="Heading2"/>
      </w:pPr>
      <w:r>
        <w:t>Scenario 4 — Provider silently changes the model</w:t>
      </w:r>
    </w:p>
    <w:p>
      <w:pPr>
        <w:spacing w:after="120"/>
      </w:pPr>
      <w:r>
        <w:t>A SaaS vendor changes the underlying model and safety behavior without a customer release process.</w:t>
      </w:r>
    </w:p>
    <w:p>
      <w:pPr>
        <w:spacing w:after="120"/>
      </w:pPr>
      <w:r>
        <w:t>Learners define the revalidation trigger, contract/change-notification requirement, regression test set, monitoring and deployment disposition until acceptable evidence exists.</w:t>
      </w:r>
    </w:p>
    <w:p>
      <w:pPr>
        <w:pStyle w:val="Heading2"/>
      </w:pPr>
      <w:r>
        <w:t>Scenario 5 — Customer-facing financial explanation</w:t>
      </w:r>
    </w:p>
    <w:p>
      <w:pPr>
        <w:spacing w:after="120"/>
      </w:pPr>
      <w:r>
        <w:t>A GenAI system explains financial products but cannot give binding investment advice or approve transactions.</w:t>
      </w:r>
    </w:p>
    <w:p>
      <w:pPr>
        <w:spacing w:after="120"/>
      </w:pPr>
      <w:r>
        <w:t>Learners MAP intended/forbidden uses, MEASURE false/confabulated claims and MANAGE escalation, disclosures and monitoring.</w:t>
      </w:r>
    </w:p>
    <w:p>
      <w:pPr>
        <w:pStyle w:val="Heading2"/>
      </w:pPr>
      <w:r>
        <w:t>Scenario 6 — Red-team finding</w:t>
      </w:r>
    </w:p>
    <w:p>
      <w:pPr>
        <w:spacing w:after="120"/>
      </w:pPr>
      <w:r>
        <w:t>A red team demonstrates that indirect prompt injection can cause the system to exfiltrate content from an internal RAG source.</w:t>
      </w:r>
    </w:p>
    <w:p>
      <w:pPr>
        <w:spacing w:after="120"/>
      </w:pPr>
      <w:r>
        <w:t>Learners must record the finding, severity, containment, technical remediation, retest, residual risk decision and conditions for return to service.</w:t>
      </w:r>
    </w:p>
    <w:p>
      <w:pPr>
        <w:pStyle w:val="Heading2"/>
      </w:pPr>
      <w:r>
        <w:t>Scenario 7 — Automation bias</w:t>
      </w:r>
    </w:p>
    <w:p>
      <w:pPr>
        <w:spacing w:after="120"/>
      </w:pPr>
      <w:r>
        <w:t>Operators accept almost every GenAI recommendation even though policy requires independent judgment.</w:t>
      </w:r>
    </w:p>
    <w:p>
      <w:pPr>
        <w:spacing w:after="120"/>
      </w:pPr>
      <w:r>
        <w:t>Learners propose reviewer training, forced independent checks, override/disagreement metrics and investigation thresholds.</w:t>
      </w:r>
    </w:p>
    <w:p>
      <w:pPr>
        <w:pStyle w:val="Heading2"/>
      </w:pPr>
      <w:r>
        <w:t>Scenario 8 — Incident after harmful output</w:t>
      </w:r>
    </w:p>
    <w:p>
      <w:pPr>
        <w:spacing w:after="120"/>
      </w:pPr>
      <w:r>
        <w:t>A public GenAI service generates dangerous guidance and the incident cannot initially be reproduced because the exact model version and context were not retained.</w:t>
      </w:r>
    </w:p>
    <w:p>
      <w:pPr>
        <w:spacing w:after="120"/>
      </w:pPr>
      <w:r>
        <w:t>Learners identify evidence/provenance failures, IR improvements and minimum logging/version-control requirements.</w:t>
      </w:r>
    </w:p>
    <w:p>
      <w:pPr>
        <w:pStyle w:val="Heading2"/>
      </w:pPr>
      <w:r>
        <w:t>Scenario 9 — Executive risk decision</w:t>
      </w:r>
    </w:p>
    <w:p>
      <w:pPr>
        <w:spacing w:after="120"/>
      </w:pPr>
      <w:r>
        <w:t>A dashboard shows one system with strong benchmark scores but unresolved privacy and provider-change controls. Another has lower accuracy but strong human review and bounded use.</w:t>
      </w:r>
    </w:p>
    <w:p>
      <w:pPr>
        <w:spacing w:after="120"/>
      </w:pPr>
      <w:r>
        <w:t>Learners explain why AI risk cannot be reduced to one performance score and produce a documented MANAGE decision.</w:t>
      </w:r>
    </w:p>
    <w:p>
      <w:pPr>
        <w:pStyle w:val="Heading2"/>
      </w:pPr>
      <w:r>
        <w:t>Scenario 10 — Cross-framework claim</w:t>
      </w:r>
    </w:p>
    <w:p>
      <w:pPr>
        <w:spacing w:after="120"/>
      </w:pPr>
      <w:r>
        <w:t>A manager says: “We follow NIST AI RMF, so we comply with the EU AI Act and are ISO/IEC 42001 certified.”</w:t>
      </w:r>
    </w:p>
    <w:p>
      <w:pPr>
        <w:spacing w:after="120"/>
      </w:pPr>
      <w:r>
        <w:t>Learners must reject the claim and create a qualified mapping showing common controls, framework-specific obligations/evidence and different legal/standards status.</w:t>
      </w:r>
    </w:p>
    <w:p>
      <w:pPr>
        <w:pStyle w:val="Heading1"/>
      </w:pPr>
      <w:r>
        <w:t>Manual 49 — NIST AI RMF + GenAI Control and Evidence Workbook</w:t>
      </w:r>
    </w:p>
    <w:p>
      <w:pPr>
        <w:spacing w:after="120"/>
      </w:pPr>
      <w:r>
        <w:t>| ID | Function/domain | Control objective | Minimum evidence | Test / assurance method |</w:t>
      </w:r>
    </w:p>
    <w:p>
      <w:pPr>
        <w:spacing w:after="120"/>
      </w:pPr>
      <w:r>
        <w:t>|---|---|---|---|---|</w:t>
      </w:r>
    </w:p>
    <w:p>
      <w:pPr>
        <w:spacing w:after="120"/>
      </w:pPr>
      <w:r>
        <w:t>| N-AI-01 | GOVERN | Assign accountable AI ownership and decision rights | charter, RACI, approvals | sample decisions and ownership |</w:t>
      </w:r>
    </w:p>
    <w:p>
      <w:pPr>
        <w:spacing w:after="120"/>
      </w:pPr>
      <w:r>
        <w:t>| N-AI-02 | GOVERN | Maintain AI/GenAI inventory and risk tier | inventory, tier rationale | reconcile against procurement/cloud/repos |</w:t>
      </w:r>
    </w:p>
    <w:p>
      <w:pPr>
        <w:spacing w:after="120"/>
      </w:pPr>
      <w:r>
        <w:t>| N-AI-03 | GOVERN | Establish policy, risk tolerance and exceptions | policy, standards, exceptions | inspect exceptions and expiry/remediation |</w:t>
      </w:r>
    </w:p>
    <w:p>
      <w:pPr>
        <w:spacing w:after="120"/>
      </w:pPr>
      <w:r>
        <w:t>| N-AI-04 | GOVERN | Govern model/provider and third parties | assessment, contract, change notices | sample material provider changes |</w:t>
      </w:r>
    </w:p>
    <w:p>
      <w:pPr>
        <w:spacing w:after="120"/>
      </w:pPr>
      <w:r>
        <w:t>| N-AI-05 | MAP | Document intended purpose and prohibited/misuse cases | use-case statement, misuse analysis | compare production use to approved purpose |</w:t>
      </w:r>
    </w:p>
    <w:p>
      <w:pPr>
        <w:spacing w:after="120"/>
      </w:pPr>
      <w:r>
        <w:t>| N-AI-06 | MAP | Identify actors, users and affected parties | stakeholder map | sample impacts and escalation paths |</w:t>
      </w:r>
    </w:p>
    <w:p>
      <w:pPr>
        <w:spacing w:after="120"/>
      </w:pPr>
      <w:r>
        <w:t>| N-AI-07 | MAP | Map data, RAG and technical dependencies | architecture, lineage/source map | trace sampled data/retrieval flows |</w:t>
      </w:r>
    </w:p>
    <w:p>
      <w:pPr>
        <w:spacing w:after="120"/>
      </w:pPr>
      <w:r>
        <w:t>| N-AI-08 | MAP | Record assumptions, limitations and foreseeable harms | limitations/risk register | challenge assumptions against evidence |</w:t>
      </w:r>
    </w:p>
    <w:p>
      <w:pPr>
        <w:spacing w:after="120"/>
      </w:pPr>
      <w:r>
        <w:t>| N-AI-09 | MEASURE | Define measurable acceptance criteria | evaluation plan, thresholds | reproduce selected tests |</w:t>
      </w:r>
    </w:p>
    <w:p>
      <w:pPr>
        <w:spacing w:after="120"/>
      </w:pPr>
      <w:r>
        <w:t>| N-AI-10 | MEASURE | Preserve test/version provenance | model/provider version, test config | verify reproducibility |</w:t>
      </w:r>
    </w:p>
    <w:p>
      <w:pPr>
        <w:spacing w:after="120"/>
      </w:pPr>
      <w:r>
        <w:t>| N-AI-11 | MEASURE | Test robustness and adversarial behavior | red-team/test report | retest remediated findings |</w:t>
      </w:r>
    </w:p>
    <w:p>
      <w:pPr>
        <w:spacing w:after="120"/>
      </w:pPr>
      <w:r>
        <w:t>| N-AI-12 | MEASURE | Evaluate security/privacy risks | security/privacy tests | attack/leakage sampling |</w:t>
      </w:r>
    </w:p>
    <w:p>
      <w:pPr>
        <w:spacing w:after="120"/>
      </w:pPr>
      <w:r>
        <w:t>| N-AI-13 | MEASURE | Evaluate human overreliance where relevant | user study/override metrics | analyze disagreement/override rates |</w:t>
      </w:r>
    </w:p>
    <w:p>
      <w:pPr>
        <w:spacing w:after="120"/>
      </w:pPr>
      <w:r>
        <w:t>| N-AI-14 | MANAGE | Tie material risks to treatment decisions | treatment plan, owners, due dates | sample open/closed risks |</w:t>
      </w:r>
    </w:p>
    <w:p>
      <w:pPr>
        <w:spacing w:after="120"/>
      </w:pPr>
      <w:r>
        <w:t>| N-AI-15 | MANAGE | Establish deployment/exception gate | decision record, residual risk | verify authority/evidence basis |</w:t>
      </w:r>
    </w:p>
    <w:p>
      <w:pPr>
        <w:spacing w:after="120"/>
      </w:pPr>
      <w:r>
        <w:t>| N-AI-16 | MANAGE | Monitor KRIs, incidents and drift | dashboard, alerts, incident log | sample alert-to-action trace |</w:t>
      </w:r>
    </w:p>
    <w:p>
      <w:pPr>
        <w:spacing w:after="120"/>
      </w:pPr>
      <w:r>
        <w:t>| N-AI-17 | MANAGE | Trigger revalidation after material change | trigger matrix, change tickets | sample model/provider/RAG changes |</w:t>
      </w:r>
    </w:p>
    <w:p>
      <w:pPr>
        <w:spacing w:after="120"/>
      </w:pPr>
      <w:r>
        <w:t>| N-GEN-01 | GenAI | Control confabulation/information integrity | groundedness/factuality tests | sample high-impact responses |</w:t>
      </w:r>
    </w:p>
    <w:p>
      <w:pPr>
        <w:spacing w:after="120"/>
      </w:pPr>
      <w:r>
        <w:t>| N-GEN-02 | GenAI | Govern RAG source provenance and access | allowlist, lineage, access rules | poison/unauthorized retrieval tests |</w:t>
      </w:r>
    </w:p>
    <w:p>
      <w:pPr>
        <w:spacing w:after="120"/>
      </w:pPr>
      <w:r>
        <w:t>| N-GEN-03 | GenAI | Control sensitive-data leakage | DLP/privacy config and tests | adversarial leakage testing |</w:t>
      </w:r>
    </w:p>
    <w:p>
      <w:pPr>
        <w:spacing w:after="120"/>
      </w:pPr>
      <w:r>
        <w:t>| N-GEN-04 | GenAI | Manage harmful/unsafe outputs | policy, filters, evaluations | safety test set / red team |</w:t>
      </w:r>
    </w:p>
    <w:p>
      <w:pPr>
        <w:spacing w:after="120"/>
      </w:pPr>
      <w:r>
        <w:t>| N-GEN-05 | GenAI | Govern provider/model changes | version/change register | regression/revalidation sampling |</w:t>
      </w:r>
    </w:p>
    <w:p>
      <w:pPr>
        <w:spacing w:after="120"/>
      </w:pPr>
      <w:r>
        <w:t>| N-GEN-06 | GenAI | Preserve content/source provenance where relevant | source/citation metadata | trace selected output to sources |</w:t>
      </w:r>
    </w:p>
    <w:p>
      <w:pPr>
        <w:spacing w:after="120"/>
      </w:pPr>
      <w:r>
        <w:t>| N-TEVV-01 | Assurance | Scale independent challenge to materiality | assurance plan, reviewer independence | verify reviewer separation/competence |</w:t>
      </w:r>
    </w:p>
    <w:p>
      <w:pPr>
        <w:spacing w:after="120"/>
      </w:pPr>
      <w:r>
        <w:t>| N-IR-01 | Incident | Reconstruct AI/GenAI incidents | version, prompt/context, RAG/tool logs | tabletop or incident reconstruction |</w:t>
      </w:r>
    </w:p>
    <w:p>
      <w:pPr>
        <w:spacing w:after="120"/>
      </w:pPr>
      <w:r>
        <w:t>| N-XW-01 | Crosswalk | Prevent false equivalence | mapping rationale/caveats | review claims against source status |</w:t>
      </w:r>
    </w:p>
    <w:p>
      <w:pPr>
        <w:pStyle w:val="Heading2"/>
      </w:pPr>
      <w:r>
        <w:t>Evidence register</w:t>
      </w:r>
    </w:p>
    <w:p>
      <w:pPr>
        <w:spacing w:after="120"/>
      </w:pPr>
      <w:r>
        <w:t>For each control record:</w:t>
      </w:r>
    </w:p>
    <w:p>
      <w:pPr>
        <w:pStyle w:val="ListBullet"/>
      </w:pPr>
      <w:r>
        <w:t>system/use case;</w:t>
      </w:r>
    </w:p>
    <w:p>
      <w:pPr>
        <w:pStyle w:val="ListBullet"/>
      </w:pPr>
      <w:r>
        <w:t>control ID and owner;</w:t>
      </w:r>
    </w:p>
    <w:p>
      <w:pPr>
        <w:pStyle w:val="ListBullet"/>
      </w:pPr>
      <w:r>
        <w:t>evidence location/date;</w:t>
      </w:r>
    </w:p>
    <w:p>
      <w:pPr>
        <w:pStyle w:val="ListBullet"/>
      </w:pPr>
      <w:r>
        <w:t>model/provider/tool version;</w:t>
      </w:r>
    </w:p>
    <w:p>
      <w:pPr>
        <w:pStyle w:val="ListBullet"/>
      </w:pPr>
      <w:r>
        <w:t>test procedure and test data;</w:t>
      </w:r>
    </w:p>
    <w:p>
      <w:pPr>
        <w:pStyle w:val="ListBullet"/>
      </w:pPr>
      <w:r>
        <w:t>result and uncertainty/limitation;</w:t>
      </w:r>
    </w:p>
    <w:p>
      <w:pPr>
        <w:pStyle w:val="ListBullet"/>
      </w:pPr>
      <w:r>
        <w:t>finding/exception;</w:t>
      </w:r>
    </w:p>
    <w:p>
      <w:pPr>
        <w:pStyle w:val="ListBullet"/>
      </w:pPr>
      <w:r>
        <w:t>remediation owner/date;</w:t>
      </w:r>
    </w:p>
    <w:p>
      <w:pPr>
        <w:pStyle w:val="ListBullet"/>
      </w:pPr>
      <w:r>
        <w:t>residual-risk decision;</w:t>
      </w:r>
    </w:p>
    <w:p>
      <w:pPr>
        <w:pStyle w:val="ListBullet"/>
      </w:pPr>
      <w:r>
        <w:t>next revalidation date.</w:t>
      </w:r>
    </w:p>
    <w:p>
      <w:pPr>
        <w:pStyle w:val="Heading2"/>
      </w:pPr>
      <w:r>
        <w:t>GOVERN-MAP-MEASURE-MANAGE case worksheet</w:t>
      </w:r>
    </w:p>
    <w:p>
      <w:pPr>
        <w:pStyle w:val="Heading3"/>
      </w:pPr>
      <w:r>
        <w:t>GOVERN</w:t>
      </w:r>
    </w:p>
    <w:p>
      <w:pPr>
        <w:spacing w:after="120"/>
      </w:pPr>
      <w:r>
        <w:t>Who owns risk? What policy/risk tolerance applies? What provider/third-party dependencies exist?</w:t>
      </w:r>
    </w:p>
    <w:p>
      <w:pPr>
        <w:pStyle w:val="Heading3"/>
      </w:pPr>
      <w:r>
        <w:t>MAP</w:t>
      </w:r>
    </w:p>
    <w:p>
      <w:pPr>
        <w:spacing w:after="120"/>
      </w:pPr>
      <w:r>
        <w:t>What is the intended use? Who is affected? What data/RAG/tools/dependencies exist? What harms/misuse are foreseeable?</w:t>
      </w:r>
    </w:p>
    <w:p>
      <w:pPr>
        <w:pStyle w:val="Heading3"/>
      </w:pPr>
      <w:r>
        <w:t>MEASURE</w:t>
      </w:r>
    </w:p>
    <w:p>
      <w:pPr>
        <w:spacing w:after="120"/>
      </w:pPr>
      <w:r>
        <w:t>Which claims must be tested? What metrics, test sets and adversarial cases apply? What uncertainty remains?</w:t>
      </w:r>
    </w:p>
    <w:p>
      <w:pPr>
        <w:pStyle w:val="Heading3"/>
      </w:pPr>
      <w:r>
        <w:t>MANAGE</w:t>
      </w:r>
    </w:p>
    <w:p>
      <w:pPr>
        <w:spacing w:after="120"/>
      </w:pPr>
      <w:r>
        <w:t>What risks require treatment? Who accepts residual risk? What monitoring, change triggers, incident and rollback controls apply?</w:t>
      </w:r>
    </w:p>
    <w:p>
      <w:pPr>
        <w:pStyle w:val="Heading2"/>
      </w:pPr>
      <w:r>
        <w:t>Release caveat</w:t>
      </w:r>
    </w:p>
    <w:p>
      <w:pPr>
        <w:spacing w:after="120"/>
      </w:pPr>
      <w:r>
        <w:t>This workbook operationalises voluntary NIST AI RMF / AI 600-1 guidance. Completion does not constitute NIST certification and does not by itself establish compliance with law or another standard.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