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49 — NIST AI RMF 1.0 + NIST AI 600-1: Perfil de Risco de IA Generativa</w:t>
      </w:r>
    </w:p>
    <w:p>
      <w:pPr>
        <w:spacing w:after="120"/>
      </w:pPr>
      <w:r>
        <w:t>**Status:** FONTE CONTROLADA DE LOCALIZAÇÃO</w:t>
      </w:r>
    </w:p>
    <w:p>
      <w:pPr>
        <w:spacing w:after="120"/>
      </w:pPr>
      <w:r>
        <w:t>**Idioma:** Português do Brasil (`pt-BR`)</w:t>
      </w:r>
    </w:p>
    <w:p>
      <w:pPr>
        <w:spacing w:after="120"/>
      </w:pPr>
      <w:r>
        <w:t>**Base metodológica:** NIST AI RMF 1.0 e NIST AI 600-1</w:t>
      </w:r>
    </w:p>
    <w:p>
      <w:pPr>
        <w:spacing w:after="120"/>
      </w:pPr>
      <w:r>
        <w:t>**Data de verificação da fonte:** 1 de setembro de 2026</w:t>
      </w:r>
    </w:p>
    <w:p>
      <w:pPr>
        <w:pStyle w:val="Heading2"/>
      </w:pPr>
      <w:r>
        <w:t>Objetivo</w:t>
      </w:r>
    </w:p>
    <w:p>
      <w:pPr>
        <w:spacing w:after="120"/>
      </w:pPr>
      <w:r>
        <w:t>Ensinar profissionais a transformar o NIST AI RMF 1.0 e o perfil de IA generativa NIST AI 600-1 em um sistema operacional de governança, gestão de riscos, testes, evidências e melhoria contínua para IA corporativa, incluindo IA generativa, RAG, modelos de terceiros e sistemas agentivos.</w:t>
      </w:r>
    </w:p>
    <w:p>
      <w:pPr>
        <w:spacing w:after="120"/>
      </w:pPr>
      <w:r>
        <w:t>NIST AI RMF e NIST AI 600-1 são estruturas voluntárias. Este manual não representa alinhamento com NIST como certificação, conformidade legal ou substituto de obrigações regulatórias aplicáveis.</w:t>
      </w:r>
    </w:p>
    <w:p>
      <w:pPr>
        <w:pStyle w:val="Heading2"/>
      </w:pPr>
      <w:r>
        <w:t>Arquitetura operacional</w:t>
      </w:r>
    </w:p>
    <w:p>
      <w:pPr>
        <w:spacing w:after="120"/>
      </w:pPr>
      <w:r>
        <w:t>O manual organiza a prática em torno das quatro funções do AI RMF:</w:t>
      </w:r>
    </w:p>
    <w:p>
      <w:pPr>
        <w:pStyle w:val="ListNumber"/>
      </w:pPr>
      <w:r>
        <w:t>**GOVERN — Governar:** estabelecer políticas, papéis, accountability, apetite a risco, inventário, competências, supervisão, terceiros e governança de mudanças.</w:t>
      </w:r>
    </w:p>
    <w:p>
      <w:pPr>
        <w:pStyle w:val="ListNumber"/>
      </w:pPr>
      <w:r>
        <w:t>**MAP — Mapear:** definir contexto, finalidade, usuários, pessoas afetadas, dependências, riscos previsíveis, impactos e condições de uso.</w:t>
      </w:r>
    </w:p>
    <w:p>
      <w:pPr>
        <w:pStyle w:val="ListNumber"/>
      </w:pPr>
      <w:r>
        <w:t>**MEASURE — Medir:** projetar TEVV, critérios, métricas, testes, evidências, avaliação de segurança, privacidade, robustez, viés/fairness quando aplicável e avaliação de riscos GenAI.</w:t>
      </w:r>
    </w:p>
    <w:p>
      <w:pPr>
        <w:pStyle w:val="ListNumber"/>
      </w:pPr>
      <w:r>
        <w:t>**MANAGE — Gerenciar:** priorizar, tratar, aceitar, transferir, mitigar ou retirar riscos; operar monitoramento, incidentes, mudanças e reavaliação.</w:t>
      </w:r>
    </w:p>
    <w:p>
      <w:pPr>
        <w:pStyle w:val="Heading2"/>
      </w:pPr>
      <w:r>
        <w:t>Extensão GenAI</w:t>
      </w:r>
    </w:p>
    <w:p>
      <w:pPr>
        <w:spacing w:after="120"/>
      </w:pPr>
      <w:r>
        <w:t>Para IA generativa, aplicar controles específicos sobre:</w:t>
      </w:r>
    </w:p>
    <w:p>
      <w:pPr>
        <w:pStyle w:val="ListBullet"/>
      </w:pPr>
      <w:r>
        <w:t>confabulação e qualidade da saída;</w:t>
      </w:r>
    </w:p>
    <w:p>
      <w:pPr>
        <w:pStyle w:val="ListBullet"/>
      </w:pPr>
      <w:r>
        <w:t>conteúdo nocivo, inseguro ou enganoso;</w:t>
      </w:r>
    </w:p>
    <w:p>
      <w:pPr>
        <w:pStyle w:val="ListBullet"/>
      </w:pPr>
      <w:r>
        <w:t>privacidade, memorização e divulgação de dados;</w:t>
      </w:r>
    </w:p>
    <w:p>
      <w:pPr>
        <w:pStyle w:val="ListBullet"/>
      </w:pPr>
      <w:r>
        <w:t>propriedade intelectual e proveniência de conteúdo;</w:t>
      </w:r>
    </w:p>
    <w:p>
      <w:pPr>
        <w:pStyle w:val="ListBullet"/>
      </w:pPr>
      <w:r>
        <w:t>segurança de modelos, prompts, ferramentas e cadeias RAG;</w:t>
      </w:r>
    </w:p>
    <w:p>
      <w:pPr>
        <w:pStyle w:val="ListBullet"/>
      </w:pPr>
      <w:r>
        <w:t>envenenamento e manipulação de fontes;</w:t>
      </w:r>
    </w:p>
    <w:p>
      <w:pPr>
        <w:pStyle w:val="ListBullet"/>
      </w:pPr>
      <w:r>
        <w:t>abuso, uso dual e automação excessiva;</w:t>
      </w:r>
    </w:p>
    <w:p>
      <w:pPr>
        <w:pStyle w:val="ListBullet"/>
      </w:pPr>
      <w:r>
        <w:t>dependência de fornecedores e modelos fundacionais;</w:t>
      </w:r>
    </w:p>
    <w:p>
      <w:pPr>
        <w:pStyle w:val="ListBullet"/>
      </w:pPr>
      <w:r>
        <w:t>avaliação de comportamento emergente;</w:t>
      </w:r>
    </w:p>
    <w:p>
      <w:pPr>
        <w:pStyle w:val="ListBullet"/>
      </w:pPr>
      <w:r>
        <w:t>monitoramento de deriva e mudanças de versão;</w:t>
      </w:r>
    </w:p>
    <w:p>
      <w:pPr>
        <w:pStyle w:val="ListBullet"/>
      </w:pPr>
      <w:r>
        <w:t>agentes, delegação, identidades, permissões e consequências das ações.</w:t>
      </w:r>
    </w:p>
    <w:p>
      <w:pPr>
        <w:pStyle w:val="Heading2"/>
      </w:pPr>
      <w:r>
        <w:t>Cadeia de controle e evidência</w:t>
      </w:r>
    </w:p>
    <w:p>
      <w:pPr>
        <w:spacing w:after="120"/>
      </w:pPr>
      <w:r>
        <w:t>**Contexto → risco → objetivo de controle → atividade → responsável → frequência/gatilho → evidência → método de teste → resultado → exceção → remediação → decisão de risco residual**</w:t>
      </w:r>
    </w:p>
    <w:p>
      <w:pPr>
        <w:spacing w:after="120"/>
      </w:pPr>
      <w:r>
        <w:t>A evidência deve ser reproduzível e vinculada à versão exata do sistema, modelo, fornecedor, configuração, dados, prompt/orquestração e ambiente avaliado.</w:t>
      </w:r>
    </w:p>
    <w:p>
      <w:pPr>
        <w:pStyle w:val="Heading2"/>
      </w:pPr>
      <w:r>
        <w:t>RAG e governança de fontes</w:t>
      </w:r>
    </w:p>
    <w:p>
      <w:pPr>
        <w:spacing w:after="120"/>
      </w:pPr>
      <w:r>
        <w:t>Para sistemas de retrieval-augmented generation:</w:t>
      </w:r>
    </w:p>
    <w:p>
      <w:pPr>
        <w:pStyle w:val="ListBullet"/>
      </w:pPr>
      <w:r>
        <w:t>registrar fontes e proprietários;</w:t>
      </w:r>
    </w:p>
    <w:p>
      <w:pPr>
        <w:pStyle w:val="ListBullet"/>
      </w:pPr>
      <w:r>
        <w:t>controlar autorização e sensibilidade;</w:t>
      </w:r>
    </w:p>
    <w:p>
      <w:pPr>
        <w:pStyle w:val="ListBullet"/>
      </w:pPr>
      <w:r>
        <w:t>avaliar qualidade, atualidade e proveniência;</w:t>
      </w:r>
    </w:p>
    <w:p>
      <w:pPr>
        <w:pStyle w:val="ListBullet"/>
      </w:pPr>
      <w:r>
        <w:t>testar injeção indireta e contaminação de contexto;</w:t>
      </w:r>
    </w:p>
    <w:p>
      <w:pPr>
        <w:pStyle w:val="ListBullet"/>
      </w:pPr>
      <w:r>
        <w:t>limitar recuperação por identidade, finalidade e necessidade;</w:t>
      </w:r>
    </w:p>
    <w:p>
      <w:pPr>
        <w:pStyle w:val="ListBullet"/>
      </w:pPr>
      <w:r>
        <w:t>registrar citações/proveniência quando aplicável;</w:t>
      </w:r>
    </w:p>
    <w:p>
      <w:pPr>
        <w:pStyle w:val="ListBullet"/>
      </w:pPr>
      <w:r>
        <w:t>monitorar mudanças em índices, embeddings, fontes e permissões.</w:t>
      </w:r>
    </w:p>
    <w:p>
      <w:pPr>
        <w:pStyle w:val="Heading2"/>
      </w:pPr>
      <w:r>
        <w:t>Fornecedores e modelos de terceiros</w:t>
      </w:r>
    </w:p>
    <w:p>
      <w:pPr>
        <w:spacing w:after="120"/>
      </w:pPr>
      <w:r>
        <w:t>A adoção de um modelo externo não transfere a responsabilidade pelo sistema completo. Manter due diligence, documentação de versão, termos de uso, controles contratuais, segurança, privacidade, mudanças, incidentes, evidência de avaliação e estratégia de substituição/saída.</w:t>
      </w:r>
    </w:p>
    <w:p>
      <w:pPr>
        <w:pStyle w:val="Heading2"/>
      </w:pPr>
      <w:r>
        <w:t>TEVV e assurance</w:t>
      </w:r>
    </w:p>
    <w:p>
      <w:pPr>
        <w:spacing w:after="120"/>
      </w:pPr>
      <w:r>
        <w:t>Os testes devem estar ligados aos riscos e critérios de aceitação. Incluir, conforme materialidade:</w:t>
      </w:r>
    </w:p>
    <w:p>
      <w:pPr>
        <w:pStyle w:val="ListBullet"/>
      </w:pPr>
      <w:r>
        <w:t>testes funcionais e de desempenho;</w:t>
      </w:r>
    </w:p>
    <w:p>
      <w:pPr>
        <w:pStyle w:val="ListBullet"/>
      </w:pPr>
      <w:r>
        <w:t>robustez e sensibilidade;</w:t>
      </w:r>
    </w:p>
    <w:p>
      <w:pPr>
        <w:pStyle w:val="ListBullet"/>
      </w:pPr>
      <w:r>
        <w:t>segurança e adversarial testing;</w:t>
      </w:r>
    </w:p>
    <w:p>
      <w:pPr>
        <w:pStyle w:val="ListBullet"/>
      </w:pPr>
      <w:r>
        <w:t>privacidade e vazamento de dados;</w:t>
      </w:r>
    </w:p>
    <w:p>
      <w:pPr>
        <w:pStyle w:val="ListBullet"/>
      </w:pPr>
      <w:r>
        <w:t>fairness/viés quando relevante;</w:t>
      </w:r>
    </w:p>
    <w:p>
      <w:pPr>
        <w:pStyle w:val="ListBullet"/>
      </w:pPr>
      <w:r>
        <w:t>avaliação de RAG;</w:t>
      </w:r>
    </w:p>
    <w:p>
      <w:pPr>
        <w:pStyle w:val="ListBullet"/>
      </w:pPr>
      <w:r>
        <w:t>avaliação de agentes e ações;</w:t>
      </w:r>
    </w:p>
    <w:p>
      <w:pPr>
        <w:pStyle w:val="ListBullet"/>
      </w:pPr>
      <w:r>
        <w:t>testes de supervisão humana;</w:t>
      </w:r>
    </w:p>
    <w:p>
      <w:pPr>
        <w:pStyle w:val="ListBullet"/>
      </w:pPr>
      <w:r>
        <w:t>cenários de uso indevido previsível;</w:t>
      </w:r>
    </w:p>
    <w:p>
      <w:pPr>
        <w:pStyle w:val="ListBullet"/>
      </w:pPr>
      <w:r>
        <w:t>análise de limites e casos extremos.</w:t>
      </w:r>
    </w:p>
    <w:p>
      <w:pPr>
        <w:spacing w:after="120"/>
      </w:pPr>
      <w:r>
        <w:t>Um resultado de teste não prova, por si só, que o sistema é seguro ou conforme. Achados devem ser governados por severidade, proprietário, remediação, compensações e decisão explícita de risco residual.</w:t>
      </w:r>
    </w:p>
    <w:p>
      <w:pPr>
        <w:pStyle w:val="Heading2"/>
      </w:pPr>
      <w:r>
        <w:t>Cenários de treinamento</w:t>
      </w:r>
    </w:p>
    <w:p>
      <w:pPr>
        <w:pStyle w:val="ListNumber"/>
      </w:pPr>
      <w:r>
        <w:t>assistente interno baseado em modelo fundacional externo;</w:t>
      </w:r>
    </w:p>
    <w:p>
      <w:pPr>
        <w:pStyle w:val="ListNumber"/>
      </w:pPr>
      <w:r>
        <w:t>chatbot de atendimento ao cliente com RAG;</w:t>
      </w:r>
    </w:p>
    <w:p>
      <w:pPr>
        <w:pStyle w:val="ListNumber"/>
      </w:pPr>
      <w:r>
        <w:t>geração de conteúdo para decisões reguladas;</w:t>
      </w:r>
    </w:p>
    <w:p>
      <w:pPr>
        <w:pStyle w:val="ListNumber"/>
      </w:pPr>
      <w:r>
        <w:t>copiloto de engenharia com acesso a código e segredos;</w:t>
      </w:r>
    </w:p>
    <w:p>
      <w:pPr>
        <w:pStyle w:val="ListNumber"/>
      </w:pPr>
      <w:r>
        <w:t>agente com ferramentas de e-mail, arquivos e APIs;</w:t>
      </w:r>
    </w:p>
    <w:p>
      <w:pPr>
        <w:pStyle w:val="ListNumber"/>
      </w:pPr>
      <w:r>
        <w:t>mudança de modelo/fornecedor após produção;</w:t>
      </w:r>
    </w:p>
    <w:p>
      <w:pPr>
        <w:pStyle w:val="ListNumber"/>
      </w:pPr>
      <w:r>
        <w:t>incidente por vazamento de dados ou prompt injection;</w:t>
      </w:r>
    </w:p>
    <w:p>
      <w:pPr>
        <w:pStyle w:val="ListNumber"/>
      </w:pPr>
      <w:r>
        <w:t>degradação de desempenho e deriva após atualização.</w:t>
      </w:r>
    </w:p>
    <w:p>
      <w:pPr>
        <w:spacing w:after="120"/>
      </w:pPr>
      <w:r>
        <w:t>Para cada cenário documentar: contexto, inventário, atores, riscos, GOVERN/MAP/MEASURE/MANAGE, controles, evidência, testes, decisão de risco residual, monitoramento e gatilhos de revalidação.</w:t>
      </w:r>
    </w:p>
    <w:p>
      <w:pPr>
        <w:pStyle w:val="Heading2"/>
      </w:pPr>
      <w:r>
        <w:t>Critério de conclusão</w:t>
      </w:r>
    </w:p>
    <w:p>
      <w:pPr>
        <w:spacing w:after="120"/>
      </w:pPr>
      <w:r>
        <w:t>A pessoa que concluir o Manual 49 deve conseguir levar um sistema de IA do inventário e contexto ao mapeamento de riscos, desenho de controles, TEVV, aceitação, operação, monitoramento, incidentes, mudanças e melhoria contínua, preservando a distinção entre uma estrutura voluntária NIST e obrigações legais ou contratuais externas.</w:t>
      </w:r>
    </w:p>
    <w:p>
      <w:pPr>
        <w:pStyle w:val="Heading2"/>
      </w:pPr>
      <w:r>
        <w:t>Limite de publicação</w:t>
      </w:r>
    </w:p>
    <w:p>
      <w:pPr>
        <w:spacing w:after="120"/>
      </w:pPr>
      <w:r>
        <w:t>Antes de congelar o candidato, o estado oficial do NIST AI RMF e do NIST AI 600-1 deve ser verificado novamente. Se o NIST publicar uma revisão material do AI RMF ou do perfil GenAI, será necessária reconciliação de escopo antes de gerar ou aprovar um candidato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