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52 — Cibersegurança de IA: ciclo de vida seguro, OWASP e MITRE ATLAS</w:t>
      </w:r>
    </w:p>
    <w:p>
      <w:pPr>
        <w:spacing w:after="120"/>
      </w:pPr>
      <w:r>
        <w:t>Fonte controlada de publicação — Português (Brasil)</w:t>
      </w:r>
    </w:p>
    <w:p>
      <w:pPr>
        <w:spacing w:after="120"/>
      </w:pPr>
      <w:r>
        <w:t>Data de verificação: 1 de setembro de 2026</w:t>
      </w:r>
    </w:p>
    <w:p>
      <w:pPr>
        <w:pStyle w:val="Heading2"/>
      </w:pPr>
      <w:r>
        <w:t>Objetivo</w:t>
      </w:r>
    </w:p>
    <w:p>
      <w:pPr>
        <w:spacing w:after="120"/>
      </w:pPr>
      <w:r>
        <w:t>Este manual estabelece um modelo prático de cibersegurança para sistemas de IA ao longo de projeto, desenvolvimento, integração, implantação, operação, mudança e desativação. IA generativa, RAG e IA agêntica são tratadas como sistemas com fronteiras de confiança, identidades, ferramentas, fluxos de dados e caminhos de ataque específicos.</w:t>
      </w:r>
    </w:p>
    <w:p>
      <w:pPr>
        <w:pStyle w:val="Heading2"/>
      </w:pPr>
      <w:r>
        <w:t>Disciplina de fontes</w:t>
      </w:r>
    </w:p>
    <w:p>
      <w:pPr>
        <w:spacing w:after="120"/>
      </w:pPr>
      <w:r>
        <w:t>OWASP GenAI e Agentic são orientações comunitárias de segurança. MITRE ATLAS é uma base viva de conhecimento adversarial. NIST AI RMF 1.0 e NIST AI 600-1 são referências voluntárias de gestão de riscos. Nenhuma delas é apresentada como certificação legal ou prova de conformidade regulatória.</w:t>
      </w:r>
    </w:p>
    <w:p>
      <w:pPr>
        <w:pStyle w:val="Heading2"/>
      </w:pPr>
      <w:r>
        <w:t>AC-01 — Inventário de ativos e dependências de IA</w:t>
      </w:r>
    </w:p>
    <w:p>
      <w:pPr>
        <w:spacing w:after="120"/>
      </w:pPr>
      <w:r>
        <w:t>Inventariar modelos, APIs, agentes, repositórios RAG, pipelines, ferramentas, identidades, segredos, orquestração, hospedagem e terceiros; registrar responsável, finalidade, versão, dados, permissões e estado.</w:t>
      </w:r>
    </w:p>
    <w:p>
      <w:pPr>
        <w:pStyle w:val="Heading2"/>
      </w:pPr>
      <w:r>
        <w:t>AC-02 — Arquitetura de fronteiras de confiança</w:t>
      </w:r>
    </w:p>
    <w:p>
      <w:pPr>
        <w:spacing w:after="120"/>
      </w:pPr>
      <w:r>
        <w:t>Documentar limites entre usuários, conteúdo não confiável, prompts, instruções de sistema, runtime, RAG, ferramentas, agentes, serviços externos e sistemas privilegiados.</w:t>
      </w:r>
    </w:p>
    <w:p>
      <w:pPr>
        <w:pStyle w:val="Heading2"/>
      </w:pPr>
      <w:r>
        <w:t>AC-03 — Injeção de prompt direta e indireta</w:t>
      </w:r>
    </w:p>
    <w:p>
      <w:pPr>
        <w:spacing w:after="120"/>
      </w:pPr>
      <w:r>
        <w:t>Impedir que conteúdo não confiável adquira autoridade de instrução. Separar política confiável de conteúdo recuperado, validar chamadas de ferramentas, restringir ações e testar caminhos de injeção indireta.</w:t>
      </w:r>
    </w:p>
    <w:p>
      <w:pPr>
        <w:pStyle w:val="Heading2"/>
      </w:pPr>
      <w:r>
        <w:t>AC-04 — Envenenamento de RAG/fontes</w:t>
      </w:r>
    </w:p>
    <w:p>
      <w:pPr>
        <w:spacing w:after="120"/>
      </w:pPr>
      <w:r>
        <w:t>Controlar aprovação, proveniência, ingestão, autorização, integridade, atualidade e recuperação. Testar fontes envenenadas, não autorizadas, obsoletas e enganosas.</w:t>
      </w:r>
    </w:p>
    <w:p>
      <w:pPr>
        <w:pStyle w:val="Heading2"/>
      </w:pPr>
      <w:r>
        <w:t>AC-05 — Divulgação e exfiltração de dados sensíveis</w:t>
      </w:r>
    </w:p>
    <w:p>
      <w:pPr>
        <w:spacing w:after="120"/>
      </w:pPr>
      <w:r>
        <w:t>Proteger prompts, contexto, dados RAG, saídas, logs e respostas de ferramentas com autorização, minimização, filtragem, monitoramento e testes de vazamento.</w:t>
      </w:r>
    </w:p>
    <w:p>
      <w:pPr>
        <w:pStyle w:val="Heading2"/>
      </w:pPr>
      <w:r>
        <w:t>AC-06 — Tratamento inseguro de saídas</w:t>
      </w:r>
    </w:p>
    <w:p>
      <w:pPr>
        <w:spacing w:after="120"/>
      </w:pPr>
      <w:r>
        <w:t>Tratar a saída do modelo como não confiável quando enviada para shells, interpretadores, SQL, templates, navegadores, APIs ou automação. Validar, parametrizar, isolar e aprovar operações consequentes.</w:t>
      </w:r>
    </w:p>
    <w:p>
      <w:pPr>
        <w:pStyle w:val="Heading2"/>
      </w:pPr>
      <w:r>
        <w:t>AC-07 — Agência excessiva e abuso de ferramentas</w:t>
      </w:r>
    </w:p>
    <w:p>
      <w:pPr>
        <w:spacing w:after="120"/>
      </w:pPr>
      <w:r>
        <w:t>Limitar ferramentas, permissões, transações, autonomia e recursos. Exigir aprovação humana quando necessário e manter rastreabilidade atribuível.</w:t>
      </w:r>
    </w:p>
    <w:p>
      <w:pPr>
        <w:pStyle w:val="Heading2"/>
      </w:pPr>
      <w:r>
        <w:t>AC-08 — Identidade e delegação de agentes</w:t>
      </w:r>
    </w:p>
    <w:p>
      <w:pPr>
        <w:spacing w:after="120"/>
      </w:pPr>
      <w:r>
        <w:t>Usar identidades atribuíveis, credenciais de escopo limitado e fronteiras explícitas de delegação. Reavaliar autorização em cada salto entre agentes e ferramentas.</w:t>
      </w:r>
    </w:p>
    <w:p>
      <w:pPr>
        <w:pStyle w:val="Heading2"/>
      </w:pPr>
      <w:r>
        <w:t>AC-09 — Segurança de segredos e credenciais</w:t>
      </w:r>
    </w:p>
    <w:p>
      <w:pPr>
        <w:spacing w:after="120"/>
      </w:pPr>
      <w:r>
        <w:t>Usar gestão de segredos e credenciais de curta duração quando viável, com rotação e revogação rápida. Não incorporar segredos duradouros em prompts ou memória.</w:t>
      </w:r>
    </w:p>
    <w:p>
      <w:pPr>
        <w:pStyle w:val="Heading2"/>
      </w:pPr>
      <w:r>
        <w:t>AC-10 — Cadeia de suprimentos de modelo/dados/software</w:t>
      </w:r>
    </w:p>
    <w:p>
      <w:pPr>
        <w:spacing w:after="120"/>
      </w:pPr>
      <w:r>
        <w:t>Rastrear versões de modelo/provedor, bibliotecas, contêineres, datasets, plugins, ferramentas e dependências. Aplicar controles de integridade e gatilhos de revalidação.</w:t>
      </w:r>
    </w:p>
    <w:p>
      <w:pPr>
        <w:pStyle w:val="Heading2"/>
      </w:pPr>
      <w:r>
        <w:t>AC-11 — Envenenamento de modelos e dados</w:t>
      </w:r>
    </w:p>
    <w:p>
      <w:pPr>
        <w:spacing w:after="120"/>
      </w:pPr>
      <w:r>
        <w:t>Proteger dados de treinamento, ajuste, avaliação e recuperação contra modificação não autorizada ou conteúdo malicioso. Preservar proveniência e integridade.</w:t>
      </w:r>
    </w:p>
    <w:p>
      <w:pPr>
        <w:pStyle w:val="Heading2"/>
      </w:pPr>
      <w:r>
        <w:t>AC-12 — Extração, roubo e abuso do modelo</w:t>
      </w:r>
    </w:p>
    <w:p>
      <w:pPr>
        <w:spacing w:after="120"/>
      </w:pPr>
      <w:r>
        <w:t>Aplicar autenticação, autorização, limites de uso e monitoramento de anomalias conforme exposição e valor. Detectar scraping, enumeração e sondagem repetida de fronteiras.</w:t>
      </w:r>
    </w:p>
    <w:p>
      <w:pPr>
        <w:pStyle w:val="Heading2"/>
      </w:pPr>
      <w:r>
        <w:t>AC-13 — Esgotamento de recursos / negação de serviço</w:t>
      </w:r>
    </w:p>
    <w:p>
      <w:pPr>
        <w:spacing w:after="120"/>
      </w:pPr>
      <w:r>
        <w:t>Controlar tokens, computação, recursão, chamadas de ferramenta, APIs e transações por meio de quotas, timeouts, limites de recursão e circuit breakers.</w:t>
      </w:r>
    </w:p>
    <w:p>
      <w:pPr>
        <w:pStyle w:val="Heading2"/>
      </w:pPr>
      <w:r>
        <w:t>AC-14 — Monitoramento e detecção de segurança</w:t>
      </w:r>
    </w:p>
    <w:p>
      <w:pPr>
        <w:spacing w:after="120"/>
      </w:pPr>
      <w:r>
        <w:t>Coletar telemetria de autenticação, uso de ferramentas, negações de política, prompts/ações anômalas, eventos RAG, mudanças de modelo e ações de contenção.</w:t>
      </w:r>
    </w:p>
    <w:p>
      <w:pPr>
        <w:pStyle w:val="Heading2"/>
      </w:pPr>
      <w:r>
        <w:t>AC-15 — Testes adversariais e red teaming</w:t>
      </w:r>
    </w:p>
    <w:p>
      <w:pPr>
        <w:spacing w:after="120"/>
      </w:pPr>
      <w:r>
        <w:t>Testar injeção de prompt, envenenamento RAG, abuso de ferramentas, vazamento de dados, escalonamento de privilégios, execução insegura, abuso do modelo, adulteração de supply chain e falhas de contenção.</w:t>
      </w:r>
    </w:p>
    <w:p>
      <w:pPr>
        <w:pStyle w:val="Heading2"/>
      </w:pPr>
      <w:r>
        <w:t>AC-16 — Gestão de vulnerabilidades e mudanças</w:t>
      </w:r>
    </w:p>
    <w:p>
      <w:pPr>
        <w:spacing w:after="120"/>
      </w:pPr>
      <w:r>
        <w:t>Rastrear vulnerabilidades e tratar mudanças de modelo, provedor, ferramenta, permissão, política, fonte RAG ou orquestração como possíveis gatilhos de revalidação.</w:t>
      </w:r>
    </w:p>
    <w:p>
      <w:pPr>
        <w:pStyle w:val="Heading2"/>
      </w:pPr>
      <w:r>
        <w:t>AC-17 — Segurança de terceiros de IA</w:t>
      </w:r>
    </w:p>
    <w:p>
      <w:pPr>
        <w:spacing w:after="120"/>
      </w:pPr>
      <w:r>
        <w:t>Avaliar provedores externos quanto a segurança, identidade, tratamento de dados, notificação de mudanças, incidentes, continuidade, subcontratados e acesso a evidências.</w:t>
      </w:r>
    </w:p>
    <w:p>
      <w:pPr>
        <w:pStyle w:val="Heading2"/>
      </w:pPr>
      <w:r>
        <w:t>AC-18 — Resposta a incidentes de IA</w:t>
      </w:r>
    </w:p>
    <w:p>
      <w:pPr>
        <w:spacing w:after="120"/>
      </w:pPr>
      <w:r>
        <w:t>Preservar versão de modelo/provedor, prompts, contexto, logs RAG/ferramenta/agente, identidades, exposição de dados, detecções e evidências de contenção.</w:t>
      </w:r>
    </w:p>
    <w:p>
      <w:pPr>
        <w:pStyle w:val="Heading2"/>
      </w:pPr>
      <w:r>
        <w:t>AC-19 — Contenção, rollback e desativação emergencial</w:t>
      </w:r>
    </w:p>
    <w:p>
      <w:pPr>
        <w:spacing w:after="120"/>
      </w:pPr>
      <w:r>
        <w:t>Manter capacidade testada para desativar agentes/ferramentas, revogar credenciais, isolar ambientes, bloquear endpoints e restaurar configuração segura.</w:t>
      </w:r>
    </w:p>
    <w:p>
      <w:pPr>
        <w:pStyle w:val="Heading2"/>
      </w:pPr>
      <w:r>
        <w:t>AC-20 — Desativação segura</w:t>
      </w:r>
    </w:p>
    <w:p>
      <w:pPr>
        <w:spacing w:after="120"/>
      </w:pPr>
      <w:r>
        <w:t>Revogar credenciais, remover acessos, arquivar evidências necessárias, aplicar retenção/exclusão, descomissionar integrações e atualizar inventário.</w:t>
      </w:r>
    </w:p>
    <w:p>
      <w:pPr>
        <w:pStyle w:val="Heading2"/>
      </w:pPr>
      <w:r>
        <w:t>Cenários adversariais obrigatórios</w:t>
      </w:r>
    </w:p>
    <w:p>
      <w:pPr>
        <w:pStyle w:val="ListNumber"/>
      </w:pPr>
      <w:r>
        <w:t>Injeção indireta por RAG.</w:t>
      </w:r>
    </w:p>
    <w:p>
      <w:pPr>
        <w:pStyle w:val="ListNumber"/>
      </w:pPr>
      <w:r>
        <w:t>Uso de ferramenta por agente superprivilegiado.</w:t>
      </w:r>
    </w:p>
    <w:p>
      <w:pPr>
        <w:pStyle w:val="ListNumber"/>
      </w:pPr>
      <w:r>
        <w:t>Mudança de versão do modelo pelo provedor.</w:t>
      </w:r>
    </w:p>
    <w:p>
      <w:pPr>
        <w:pStyle w:val="ListNumber"/>
      </w:pPr>
      <w:r>
        <w:t>Exfiltração de dados via RAG.</w:t>
      </w:r>
    </w:p>
    <w:p>
      <w:pPr>
        <w:pStyle w:val="ListNumber"/>
      </w:pPr>
      <w:r>
        <w:t>Execução insegura de saída.</w:t>
      </w:r>
    </w:p>
    <w:p>
      <w:pPr>
        <w:pStyle w:val="ListNumber"/>
      </w:pPr>
      <w:r>
        <w:t>Abuso de delegação entre agentes.</w:t>
      </w:r>
    </w:p>
    <w:p>
      <w:pPr>
        <w:pStyle w:val="ListNumber"/>
      </w:pPr>
      <w:r>
        <w:t>Adulteração de modelo ou artefato na cadeia de suprimentos.</w:t>
      </w:r>
    </w:p>
    <w:p>
      <w:pPr>
        <w:pStyle w:val="ListNumber"/>
      </w:pPr>
      <w:r>
        <w:t>Jailbreak combinado com invocação de ferramentas.</w:t>
      </w:r>
    </w:p>
    <w:p>
      <w:pPr>
        <w:pStyle w:val="ListNumber"/>
      </w:pPr>
      <w:r>
        <w:t>Envenenamento de dados de treinamento/avaliação.</w:t>
      </w:r>
    </w:p>
    <w:p>
      <w:pPr>
        <w:pStyle w:val="ListNumber"/>
      </w:pPr>
      <w:r>
        <w:t>Resposta a incidente com telemetria incompleta.</w:t>
      </w:r>
    </w:p>
    <w:p>
      <w:pPr>
        <w:spacing w:after="120"/>
      </w:pPr>
      <w:r>
        <w:t>Cada cenário deve gerar evidências de prevenção, detecção, contenção, recuperação, revalidação e escalonamento. Não há aprovação apenas porque o dano não ocorreu.</w:t>
      </w:r>
    </w:p>
    <w:p>
      <w:pPr>
        <w:pStyle w:val="Heading2"/>
      </w:pPr>
      <w:r>
        <w:t>Registro mínimo de evidências</w:t>
      </w:r>
    </w:p>
    <w:p>
      <w:pPr>
        <w:pStyle w:val="ListBullet"/>
      </w:pPr>
      <w:r>
        <w:t>AC-E01 inventário de ativos e dependências.</w:t>
      </w:r>
    </w:p>
    <w:p>
      <w:pPr>
        <w:pStyle w:val="ListBullet"/>
      </w:pPr>
      <w:r>
        <w:t>AC-E02 modelo de ameaças e fronteiras de confiança.</w:t>
      </w:r>
    </w:p>
    <w:p>
      <w:pPr>
        <w:pStyle w:val="ListBullet"/>
      </w:pPr>
      <w:r>
        <w:t>AC-E03 pacote de testes de prompt/RAG.</w:t>
      </w:r>
    </w:p>
    <w:p>
      <w:pPr>
        <w:pStyle w:val="ListBullet"/>
      </w:pPr>
      <w:r>
        <w:t>AC-E04 desenho de autorização e delegação de agentes.</w:t>
      </w:r>
    </w:p>
    <w:p>
      <w:pPr>
        <w:pStyle w:val="ListBullet"/>
      </w:pPr>
      <w:r>
        <w:t>AC-E05 avaliação da cadeia de suprimentos e integridade.</w:t>
      </w:r>
    </w:p>
    <w:p>
      <w:pPr>
        <w:pStyle w:val="ListBullet"/>
      </w:pPr>
      <w:r>
        <w:t>AC-E06 resultados adversariais/red team.</w:t>
      </w:r>
    </w:p>
    <w:p>
      <w:pPr>
        <w:pStyle w:val="ListBullet"/>
      </w:pPr>
      <w:r>
        <w:t>AC-E07 mapa de telemetria e detecção.</w:t>
      </w:r>
    </w:p>
    <w:p>
      <w:pPr>
        <w:pStyle w:val="ListBullet"/>
      </w:pPr>
      <w:r>
        <w:t>AC-E08 pacote de evidências de incidentes.</w:t>
      </w:r>
    </w:p>
    <w:p>
      <w:pPr>
        <w:pStyle w:val="ListBullet"/>
      </w:pPr>
      <w:r>
        <w:t>AC-E09 registro de mudanças e revalidação.</w:t>
      </w:r>
    </w:p>
    <w:p>
      <w:pPr>
        <w:pStyle w:val="ListBullet"/>
      </w:pPr>
      <w:r>
        <w:t>AC-E10 teste de recuperação e contenção.</w:t>
      </w:r>
    </w:p>
    <w:p>
      <w:pPr>
        <w:pStyle w:val="Heading2"/>
      </w:pPr>
      <w:r>
        <w:t>Método de crosswalk</w:t>
      </w:r>
    </w:p>
    <w:p>
      <w:pPr>
        <w:spacing w:after="120"/>
      </w:pPr>
      <w:r>
        <w:t>Cada linha registra controle empresarial → relação OWASP → relação MITRE ATLAS quando aplicável → apoio NIST → evidência → limitações → risco residual. O Manual 46 fornece a espinha dorsal de governança de IA; o Manual 51 fornece identidade, autonomia, limites de ação, autoridade delegada e responsabilidade humana; o Manual 52 adiciona modelagem adversarial, detecção, red teaming, contenção técnica e evidência de incidentes.</w:t>
      </w:r>
    </w:p>
    <w:p>
      <w:pPr>
        <w:pStyle w:val="Heading2"/>
      </w:pPr>
      <w:r>
        <w:t>Regra de liberação</w:t>
      </w:r>
    </w:p>
    <w:p>
      <w:pPr>
        <w:spacing w:after="120"/>
      </w:pPr>
      <w:r>
        <w:t>Um controle não é considerado eficaz apenas porque existe documentação. São necessárias evidências de implementação, teste, tratamento de exceções e disposição do risco residual. Mudanças materiais de fonte ou plataforma exigem reavaliação.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