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49 — NIST AI RMF 1.0 + NIST AI 600-1: Perfil de Riesgo de IA Generativa</w:t>
      </w:r>
    </w:p>
    <w:p>
      <w:pPr>
        <w:spacing w:after="120"/>
      </w:pPr>
      <w:r>
        <w:t>**Estado:** FUENTE CONTROLADA DE LOCALIZACIÓN</w:t>
      </w:r>
    </w:p>
    <w:p>
      <w:pPr>
        <w:spacing w:after="120"/>
      </w:pPr>
      <w:r>
        <w:t>**Idioma:** Español Latinoamericano (`es-419`)</w:t>
      </w:r>
    </w:p>
    <w:p>
      <w:pPr>
        <w:spacing w:after="120"/>
      </w:pPr>
      <w:r>
        <w:t>**Base normativa/metodológica:** NIST AI RMF 1.0 y NIST AI 600-1</w:t>
      </w:r>
    </w:p>
    <w:p>
      <w:pPr>
        <w:spacing w:after="120"/>
      </w:pPr>
      <w:r>
        <w:t>**Fecha de verificación de fuente:** 1 de septiembre de 2026</w:t>
      </w:r>
    </w:p>
    <w:p>
      <w:pPr>
        <w:pStyle w:val="Heading2"/>
      </w:pPr>
      <w:r>
        <w:t>Objetivo</w:t>
      </w:r>
    </w:p>
    <w:p>
      <w:pPr>
        <w:spacing w:after="120"/>
      </w:pPr>
      <w:r>
        <w:t>Enseñar a profesionales a convertir NIST AI RMF 1.0 y el perfil de IA generativa NIST AI 600-1 en un sistema operativo de gobernanza, gestión de riesgos, pruebas, evidencia y mejora continua para IA empresarial, incluida IA generativa, RAG, modelos de terceros y sistemas agentivos.</w:t>
      </w:r>
    </w:p>
    <w:p>
      <w:pPr>
        <w:spacing w:after="120"/>
      </w:pPr>
      <w:r>
        <w:t>NIST AI RMF y NIST AI 600-1 son marcos voluntarios. Este manual no representa alineación con NIST como certificación, cumplimiento legal ni sustituto de obligaciones regulatorias aplicables.</w:t>
      </w:r>
    </w:p>
    <w:p>
      <w:pPr>
        <w:pStyle w:val="Heading2"/>
      </w:pPr>
      <w:r>
        <w:t>Arquitectura operativa</w:t>
      </w:r>
    </w:p>
    <w:p>
      <w:pPr>
        <w:spacing w:after="120"/>
      </w:pPr>
      <w:r>
        <w:t>El manual organiza la práctica alrededor de las cuatro funciones del AI RMF:</w:t>
      </w:r>
    </w:p>
    <w:p>
      <w:pPr>
        <w:pStyle w:val="ListNumber"/>
      </w:pPr>
      <w:r>
        <w:t>**GOVERN — Gobernar:** establecer políticas, roles, rendición de cuentas, apetito de riesgo, inventario, competencias, supervisión, terceros y gobernanza de cambios.</w:t>
      </w:r>
    </w:p>
    <w:p>
      <w:pPr>
        <w:pStyle w:val="ListNumber"/>
      </w:pPr>
      <w:r>
        <w:t>**MAP — Mapear:** definir contexto, finalidad, usuarios, personas afectadas, dependencias, riesgos previsibles, impactos y condiciones de uso.</w:t>
      </w:r>
    </w:p>
    <w:p>
      <w:pPr>
        <w:pStyle w:val="ListNumber"/>
      </w:pPr>
      <w:r>
        <w:t>**MEASURE — Medir:** diseñar TEVV, criterios, métricas, pruebas, evidencia, evaluación de seguridad, privacidad, robustez, sesgo/fairness cuando corresponda y evaluación de riesgos GenAI.</w:t>
      </w:r>
    </w:p>
    <w:p>
      <w:pPr>
        <w:pStyle w:val="ListNumber"/>
      </w:pPr>
      <w:r>
        <w:t>**MANAGE — Gestionar:** priorizar, tratar, aceptar, transferir, mitigar o retirar riesgos; operar monitoreo, incidentes, cambios y reevaluación.</w:t>
      </w:r>
    </w:p>
    <w:p>
      <w:pPr>
        <w:pStyle w:val="Heading2"/>
      </w:pPr>
      <w:r>
        <w:t>Extensión GenAI</w:t>
      </w:r>
    </w:p>
    <w:p>
      <w:pPr>
        <w:spacing w:after="120"/>
      </w:pPr>
      <w:r>
        <w:t>Para IA generativa, aplicar además controles específicos sobre:</w:t>
      </w:r>
    </w:p>
    <w:p>
      <w:pPr>
        <w:pStyle w:val="ListBullet"/>
      </w:pPr>
      <w:r>
        <w:t>confabulación y calidad de salida;</w:t>
      </w:r>
    </w:p>
    <w:p>
      <w:pPr>
        <w:pStyle w:val="ListBullet"/>
      </w:pPr>
      <w:r>
        <w:t>contenido dañino, inseguro o engañoso;</w:t>
      </w:r>
    </w:p>
    <w:p>
      <w:pPr>
        <w:pStyle w:val="ListBullet"/>
      </w:pPr>
      <w:r>
        <w:t>privacidad, memorización y divulgación de datos;</w:t>
      </w:r>
    </w:p>
    <w:p>
      <w:pPr>
        <w:pStyle w:val="ListBullet"/>
      </w:pPr>
      <w:r>
        <w:t>propiedad intelectual y procedencia de contenido;</w:t>
      </w:r>
    </w:p>
    <w:p>
      <w:pPr>
        <w:pStyle w:val="ListBullet"/>
      </w:pPr>
      <w:r>
        <w:t>seguridad de modelos, prompts, herramientas y cadenas RAG;</w:t>
      </w:r>
    </w:p>
    <w:p>
      <w:pPr>
        <w:pStyle w:val="ListBullet"/>
      </w:pPr>
      <w:r>
        <w:t>envenenamiento y manipulación de fuentes;</w:t>
      </w:r>
    </w:p>
    <w:p>
      <w:pPr>
        <w:pStyle w:val="ListBullet"/>
      </w:pPr>
      <w:r>
        <w:t>abuso, uso dual y automatización excesiva;</w:t>
      </w:r>
    </w:p>
    <w:p>
      <w:pPr>
        <w:pStyle w:val="ListBullet"/>
      </w:pPr>
      <w:r>
        <w:t>dependencia de proveedores y modelos fundacionales;</w:t>
      </w:r>
    </w:p>
    <w:p>
      <w:pPr>
        <w:pStyle w:val="ListBullet"/>
      </w:pPr>
      <w:r>
        <w:t>evaluación de comportamiento emergente;</w:t>
      </w:r>
    </w:p>
    <w:p>
      <w:pPr>
        <w:pStyle w:val="ListBullet"/>
      </w:pPr>
      <w:r>
        <w:t>monitoreo de deriva y cambios de versión;</w:t>
      </w:r>
    </w:p>
    <w:p>
      <w:pPr>
        <w:pStyle w:val="ListBullet"/>
      </w:pPr>
      <w:r>
        <w:t>agentes, delegación, identidades, permisos y consecuencias de acciones.</w:t>
      </w:r>
    </w:p>
    <w:p>
      <w:pPr>
        <w:pStyle w:val="Heading2"/>
      </w:pPr>
      <w:r>
        <w:t>Cadena de control y evidencia</w:t>
      </w:r>
    </w:p>
    <w:p>
      <w:pPr>
        <w:spacing w:after="120"/>
      </w:pPr>
      <w:r>
        <w:t>**Contexto → riesgo → objetivo de control → actividad → responsable → frecuencia/gatillo → evidencia → método de prueba → resultado → excepción → remediación → decisión de riesgo residual**</w:t>
      </w:r>
    </w:p>
    <w:p>
      <w:pPr>
        <w:spacing w:after="120"/>
      </w:pPr>
      <w:r>
        <w:t>La evidencia debe ser reproducible y vinculada a la versión exacta del sistema, modelo, proveedor, configuración, datos, prompt/orquestación y entorno evaluado.</w:t>
      </w:r>
    </w:p>
    <w:p>
      <w:pPr>
        <w:pStyle w:val="Heading2"/>
      </w:pPr>
      <w:r>
        <w:t>RAG y gobernanza de fuentes</w:t>
      </w:r>
    </w:p>
    <w:p>
      <w:pPr>
        <w:spacing w:after="120"/>
      </w:pPr>
      <w:r>
        <w:t>Para sistemas con recuperación aumentada:</w:t>
      </w:r>
    </w:p>
    <w:p>
      <w:pPr>
        <w:pStyle w:val="ListBullet"/>
      </w:pPr>
      <w:r>
        <w:t>registrar fuentes y propietarios;</w:t>
      </w:r>
    </w:p>
    <w:p>
      <w:pPr>
        <w:pStyle w:val="ListBullet"/>
      </w:pPr>
      <w:r>
        <w:t>controlar autorización y sensibilidad;</w:t>
      </w:r>
    </w:p>
    <w:p>
      <w:pPr>
        <w:pStyle w:val="ListBullet"/>
      </w:pPr>
      <w:r>
        <w:t>evaluar calidad, actualidad y procedencia;</w:t>
      </w:r>
    </w:p>
    <w:p>
      <w:pPr>
        <w:pStyle w:val="ListBullet"/>
      </w:pPr>
      <w:r>
        <w:t>probar inyección indirecta y contaminación de contexto;</w:t>
      </w:r>
    </w:p>
    <w:p>
      <w:pPr>
        <w:pStyle w:val="ListBullet"/>
      </w:pPr>
      <w:r>
        <w:t>limitar recuperación por identidad, finalidad y necesidad;</w:t>
      </w:r>
    </w:p>
    <w:p>
      <w:pPr>
        <w:pStyle w:val="ListBullet"/>
      </w:pPr>
      <w:r>
        <w:t>registrar citas/procedencia cuando corresponda;</w:t>
      </w:r>
    </w:p>
    <w:p>
      <w:pPr>
        <w:pStyle w:val="ListBullet"/>
      </w:pPr>
      <w:r>
        <w:t>monitorear cambios en índices, embeddings, fuentes y permisos.</w:t>
      </w:r>
    </w:p>
    <w:p>
      <w:pPr>
        <w:pStyle w:val="Heading2"/>
      </w:pPr>
      <w:r>
        <w:t>Proveedores y modelos de terceros</w:t>
      </w:r>
    </w:p>
    <w:p>
      <w:pPr>
        <w:spacing w:after="120"/>
      </w:pPr>
      <w:r>
        <w:t>La adopción de un modelo externo no transfiere la responsabilidad del sistema completo. Mantener due diligence, documentación de versión, condiciones de uso, controles contractuales, seguridad, privacidad, cambios, incidentes, evidencia de evaluación y estrategia de sustitución/salida.</w:t>
      </w:r>
    </w:p>
    <w:p>
      <w:pPr>
        <w:pStyle w:val="Heading2"/>
      </w:pPr>
      <w:r>
        <w:t>TEVV y assurance</w:t>
      </w:r>
    </w:p>
    <w:p>
      <w:pPr>
        <w:spacing w:after="120"/>
      </w:pPr>
      <w:r>
        <w:t>Las pruebas deben estar vinculadas a riesgos y criterios de aceptación. Incluir, según materialidad:</w:t>
      </w:r>
    </w:p>
    <w:p>
      <w:pPr>
        <w:pStyle w:val="ListBullet"/>
      </w:pPr>
      <w:r>
        <w:t>pruebas funcionales y de desempeño;</w:t>
      </w:r>
    </w:p>
    <w:p>
      <w:pPr>
        <w:pStyle w:val="ListBullet"/>
      </w:pPr>
      <w:r>
        <w:t>robustez y sensibilidad;</w:t>
      </w:r>
    </w:p>
    <w:p>
      <w:pPr>
        <w:pStyle w:val="ListBullet"/>
      </w:pPr>
      <w:r>
        <w:t>seguridad y adversarial testing;</w:t>
      </w:r>
    </w:p>
    <w:p>
      <w:pPr>
        <w:pStyle w:val="ListBullet"/>
      </w:pPr>
      <w:r>
        <w:t>privacidad y fuga de datos;</w:t>
      </w:r>
    </w:p>
    <w:p>
      <w:pPr>
        <w:pStyle w:val="ListBullet"/>
      </w:pPr>
      <w:r>
        <w:t>fairness/sesgo cuando sea relevante;</w:t>
      </w:r>
    </w:p>
    <w:p>
      <w:pPr>
        <w:pStyle w:val="ListBullet"/>
      </w:pPr>
      <w:r>
        <w:t>evaluación de RAG;</w:t>
      </w:r>
    </w:p>
    <w:p>
      <w:pPr>
        <w:pStyle w:val="ListBullet"/>
      </w:pPr>
      <w:r>
        <w:t>evaluación de agentes y acciones;</w:t>
      </w:r>
    </w:p>
    <w:p>
      <w:pPr>
        <w:pStyle w:val="ListBullet"/>
      </w:pPr>
      <w:r>
        <w:t>pruebas de supervisión humana;</w:t>
      </w:r>
    </w:p>
    <w:p>
      <w:pPr>
        <w:pStyle w:val="ListBullet"/>
      </w:pPr>
      <w:r>
        <w:t>escenarios de uso indebido previsible;</w:t>
      </w:r>
    </w:p>
    <w:p>
      <w:pPr>
        <w:pStyle w:val="ListBullet"/>
      </w:pPr>
      <w:r>
        <w:t>análisis de límites y casos extremos.</w:t>
      </w:r>
    </w:p>
    <w:p>
      <w:pPr>
        <w:spacing w:after="120"/>
      </w:pPr>
      <w:r>
        <w:t>Un resultado de prueba no demuestra por sí solo que el sistema sea seguro o conforme. Los hallazgos deben gobernarse mediante severidad, propietario, remediación, compensaciones y decisión explícita de riesgo residual.</w:t>
      </w:r>
    </w:p>
    <w:p>
      <w:pPr>
        <w:pStyle w:val="Heading2"/>
      </w:pPr>
      <w:r>
        <w:t>Escenarios de entrenamiento</w:t>
      </w:r>
    </w:p>
    <w:p>
      <w:pPr>
        <w:pStyle w:val="ListNumber"/>
      </w:pPr>
      <w:r>
        <w:t>asistente interno basado en modelo fundacional externo;</w:t>
      </w:r>
    </w:p>
    <w:p>
      <w:pPr>
        <w:pStyle w:val="ListNumber"/>
      </w:pPr>
      <w:r>
        <w:t>chatbot de atención al cliente con RAG;</w:t>
      </w:r>
    </w:p>
    <w:p>
      <w:pPr>
        <w:pStyle w:val="ListNumber"/>
      </w:pPr>
      <w:r>
        <w:t>generación de contenido para decisiones reguladas;</w:t>
      </w:r>
    </w:p>
    <w:p>
      <w:pPr>
        <w:pStyle w:val="ListNumber"/>
      </w:pPr>
      <w:r>
        <w:t>copiloto de ingeniería con acceso a código y secretos;</w:t>
      </w:r>
    </w:p>
    <w:p>
      <w:pPr>
        <w:pStyle w:val="ListNumber"/>
      </w:pPr>
      <w:r>
        <w:t>agente con herramientas de correo, archivos y APIs;</w:t>
      </w:r>
    </w:p>
    <w:p>
      <w:pPr>
        <w:pStyle w:val="ListNumber"/>
      </w:pPr>
      <w:r>
        <w:t>cambio de modelo/proveedor después de producción;</w:t>
      </w:r>
    </w:p>
    <w:p>
      <w:pPr>
        <w:pStyle w:val="ListNumber"/>
      </w:pPr>
      <w:r>
        <w:t>incidente por fuga de datos o prompt injection;</w:t>
      </w:r>
    </w:p>
    <w:p>
      <w:pPr>
        <w:pStyle w:val="ListNumber"/>
      </w:pPr>
      <w:r>
        <w:t>degradación de desempeño y deriva después de actualización.</w:t>
      </w:r>
    </w:p>
    <w:p>
      <w:pPr>
        <w:spacing w:after="120"/>
      </w:pPr>
      <w:r>
        <w:t>Para cada escenario documentar: contexto, inventario, actores, riesgos, GOVERN/MAP/MEASURE/MANAGE, controles, evidencia, pruebas, decisión de riesgo residual, monitoreo y gatillos de revalidación.</w:t>
      </w:r>
    </w:p>
    <w:p>
      <w:pPr>
        <w:pStyle w:val="Heading2"/>
      </w:pPr>
      <w:r>
        <w:t>Criterio de finalización</w:t>
      </w:r>
    </w:p>
    <w:p>
      <w:pPr>
        <w:spacing w:after="120"/>
      </w:pPr>
      <w:r>
        <w:t>La persona que complete el Manual 49 debe poder tomar un sistema de IA desde el inventario y contexto hasta el mapeo de riesgos, diseño de controles, TEVV, aceptación, operación, monitoreo, incidentes, cambios y mejora continua, conservando la distinción entre un marco voluntario NIST y obligaciones legales o contractuales externas.</w:t>
      </w:r>
    </w:p>
    <w:p>
      <w:pPr>
        <w:pStyle w:val="Heading2"/>
      </w:pPr>
      <w:r>
        <w:t>Límite de publicación</w:t>
      </w:r>
    </w:p>
    <w:p>
      <w:pPr>
        <w:spacing w:after="120"/>
      </w:pPr>
      <w:r>
        <w:t>Antes de congelar el candidato, se debe volver a verificar el estado oficial de NIST AI RMF y NIST AI 600-1. Si NIST publica una revisión material del AI RMF o del perfil GenAI, se requiere reconciliación de alcance antes de generar o aprobar un candidato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