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0" w:name="fundamentos-del-nist-csf-2.0"/>
    <w:p>
      <w:pPr>
        <w:pStyle w:val="Heading1"/>
      </w:pPr>
      <w:r>
        <w:t xml:space="preserve">1. Fundamentos del NIST CSF 2.0</w:t>
      </w:r>
    </w:p>
    <w:p>
      <w:pPr>
        <w:pStyle w:val="FirstParagraph"/>
      </w:pPr>
      <w:r>
        <w:rPr>
          <w:iCs/>
          <w:i/>
        </w:rPr>
        <w:t xml:space="preserve">Qué es el marco, qué cambió y qué no afirma.</w:t>
      </w:r>
    </w:p>
    <w:p>
      <w:pPr>
        <w:pStyle w:val="BodyText"/>
      </w:pPr>
    </w:p>
    <w:p>
      <w:pPr>
        <w:pStyle w:val="BodyText"/>
      </w:pPr>
      <w:r>
        <w:t xml:space="preserve">Figura 1. Las seis Funciones del NIST CSF 2.0</w:t>
      </w:r>
    </w:p>
    <w:bookmarkStart w:id="27"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27"/>
    <w:bookmarkStart w:id="28"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28"/>
    <w:bookmarkStart w:id="29"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29"/>
    <w:bookmarkEnd w:id="30"/>
    <w:bookmarkStart w:id="31"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BodyText"/>
      </w:pP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1"/>
    <w:bookmarkStart w:id="32"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2"/>
    <w:bookmarkStart w:id="39"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3"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3"/>
    <w:bookmarkStart w:id="34"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34"/>
    <w:bookmarkStart w:id="35"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35"/>
    <w:bookmarkStart w:id="36"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36"/>
    <w:bookmarkStart w:id="37"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37"/>
    <w:bookmarkStart w:id="38"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38"/>
    <w:bookmarkEnd w:id="39"/>
    <w:bookmarkStart w:id="43"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0"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0"/>
    <w:bookmarkStart w:id="41"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1"/>
    <w:bookmarkStart w:id="42"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2"/>
    <w:bookmarkEnd w:id="43"/>
    <w:bookmarkStart w:id="49"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44"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44"/>
    <w:bookmarkStart w:id="45"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45"/>
    <w:bookmarkStart w:id="46"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46"/>
    <w:bookmarkStart w:id="47"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47"/>
    <w:bookmarkStart w:id="48"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48"/>
    <w:bookmarkEnd w:id="49"/>
    <w:bookmarkStart w:id="52"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0"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0"/>
    <w:bookmarkStart w:id="51"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1"/>
    <w:bookmarkEnd w:id="52"/>
    <w:bookmarkStart w:id="57"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3"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3"/>
    <w:bookmarkStart w:id="54"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54"/>
    <w:bookmarkStart w:id="55"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55"/>
    <w:bookmarkStart w:id="56"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56"/>
    <w:bookmarkEnd w:id="57"/>
    <w:bookmarkStart w:id="60"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58"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58"/>
    <w:bookmarkStart w:id="59"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59"/>
    <w:bookmarkEnd w:id="60"/>
    <w:bookmarkStart w:id="64"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BodyText"/>
      </w:pPr>
    </w:p>
    <w:p>
      <w:pPr>
        <w:pStyle w:val="BodyText"/>
      </w:pPr>
      <w:r>
        <w:rPr>
          <w:bCs/>
          <w:b/>
        </w:rPr>
        <w:t xml:space="preserve">Figura 3. Del Perfil Actual al plan de acción</w:t>
      </w:r>
    </w:p>
    <w:bookmarkStart w:id="61"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61"/>
    <w:bookmarkStart w:id="62"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62"/>
    <w:bookmarkStart w:id="63"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63"/>
    <w:bookmarkEnd w:id="64"/>
    <w:bookmarkStart w:id="65"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BodyText"/>
      </w:pP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65"/>
    <w:bookmarkStart w:id="68"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66"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66"/>
    <w:bookmarkStart w:id="67"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67"/>
    <w:bookmarkEnd w:id="68"/>
    <w:bookmarkStart w:id="69"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BodyText"/>
      </w:pP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69"/>
    <w:bookmarkStart w:id="71"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BodyText"/>
      </w:pPr>
    </w:p>
    <w:p>
      <w:pPr>
        <w:pStyle w:val="BodyText"/>
      </w:pPr>
      <w:r>
        <w:rPr>
          <w:bCs/>
          <w:b/>
        </w:rPr>
        <w:t xml:space="preserve">Figura 6. Cadena del resultado a la evidencia</w:t>
      </w:r>
    </w:p>
    <w:bookmarkStart w:id="70"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70"/>
    <w:bookmarkEnd w:id="71"/>
    <w:bookmarkStart w:id="74"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72"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72"/>
    <w:bookmarkStart w:id="73"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73"/>
    <w:bookmarkEnd w:id="74"/>
    <w:bookmarkStart w:id="79"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BodyText"/>
      </w:pP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75"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75"/>
    <w:bookmarkStart w:id="77"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76"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76"/>
    <w:bookmarkEnd w:id="77"/>
    <w:bookmarkStart w:id="78"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78"/>
    <w:bookmarkEnd w:id="79"/>
    <w:bookmarkStart w:id="83" w:name="guía-práctica-del-csf-para-gerentes"/>
    <w:p>
      <w:pPr>
        <w:pStyle w:val="Heading1"/>
      </w:pPr>
      <w:r>
        <w:t xml:space="preserve">17. Guía práctica del CSF para gerentes</w:t>
      </w:r>
    </w:p>
    <w:bookmarkStart w:id="80"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80"/>
    <w:bookmarkStart w:id="81"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81"/>
    <w:bookmarkStart w:id="82"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82"/>
    <w:bookmarkEnd w:id="83"/>
    <w:bookmarkStart w:id="87" w:name="de-principiante-a-analista-junior"/>
    <w:p>
      <w:pPr>
        <w:pStyle w:val="Heading1"/>
      </w:pPr>
      <w:r>
        <w:t xml:space="preserve">18. De principiante a analista junior</w:t>
      </w:r>
    </w:p>
    <w:p>
      <w:pPr>
        <w:pStyle w:val="FirstParagraph"/>
      </w:pPr>
    </w:p>
    <w:p>
      <w:pPr>
        <w:pStyle w:val="BodyText"/>
      </w:pPr>
      <w:r>
        <w:t xml:space="preserve">Figura 8. Ruta hacia el puesto de analista junior</w:t>
      </w:r>
    </w:p>
    <w:bookmarkStart w:id="84"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84"/>
    <w:bookmarkStart w:id="85"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85"/>
    <w:bookmarkStart w:id="86"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86"/>
    <w:bookmarkEnd w:id="87"/>
    <w:bookmarkStart w:id="88"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88"/>
    <w:bookmarkStart w:id="90"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89"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89"/>
    <w:bookmarkEnd w:id="90"/>
    <w:bookmarkStart w:id="91"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91"/>
    <w:bookmarkStart w:id="97" w:name="plantillas-y-listas-de-verificación"/>
    <w:p>
      <w:pPr>
        <w:pStyle w:val="Heading1"/>
      </w:pPr>
      <w:r>
        <w:t xml:space="preserve">22. Plantillas y listas de verificación</w:t>
      </w:r>
    </w:p>
    <w:bookmarkStart w:id="92"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92"/>
    <w:bookmarkStart w:id="93"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93"/>
    <w:bookmarkStart w:id="94"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94"/>
    <w:bookmarkStart w:id="95"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95"/>
    <w:bookmarkStart w:id="96"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96"/>
    <w:bookmarkEnd w:id="97"/>
    <w:bookmarkStart w:id="99"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98"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98"/>
    <w:bookmarkEnd w:id="99"/>
    <w:bookmarkStart w:id="100"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2026-07-27T19:05:29Z</dcterms:created>
  <dcterms:modified xsi:type="dcterms:W3CDTF">2026-07-27T19:05:29Z</dcterms:modified>
</cp:coreProperties>
</file>

<file path=docProps/custom.xml><?xml version="1.0" encoding="utf-8"?>
<Properties xmlns="http://schemas.openxmlformats.org/officeDocument/2006/custom-properties" xmlns:vt="http://schemas.openxmlformats.org/officeDocument/2006/docPropsVTypes"/>
</file>