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0"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BodyText"/>
      </w:pPr>
    </w:p>
    <w:p>
      <w:pPr>
        <w:pStyle w:val="BodyText"/>
      </w:pPr>
      <w:r>
        <w:t xml:space="preserve">Figura 1. As seis Funções do NIST CSF 2.0</w:t>
      </w:r>
    </w:p>
    <w:bookmarkStart w:id="27"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27"/>
    <w:bookmarkStart w:id="28"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28"/>
    <w:bookmarkStart w:id="29"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29"/>
    <w:bookmarkEnd w:id="30"/>
    <w:bookmarkStart w:id="31"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BodyText"/>
      </w:pP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1"/>
    <w:bookmarkStart w:id="32"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2"/>
    <w:bookmarkStart w:id="39"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3"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3"/>
    <w:bookmarkStart w:id="34"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34"/>
    <w:bookmarkStart w:id="35"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35"/>
    <w:bookmarkStart w:id="36"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36"/>
    <w:bookmarkStart w:id="37"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37"/>
    <w:bookmarkStart w:id="38"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38"/>
    <w:bookmarkEnd w:id="39"/>
    <w:bookmarkStart w:id="43"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0"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0"/>
    <w:bookmarkStart w:id="41"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1"/>
    <w:bookmarkStart w:id="42"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2"/>
    <w:bookmarkEnd w:id="43"/>
    <w:bookmarkStart w:id="49"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44"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44"/>
    <w:bookmarkStart w:id="45"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45"/>
    <w:bookmarkStart w:id="46"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46"/>
    <w:bookmarkStart w:id="47"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47"/>
    <w:bookmarkStart w:id="48"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48"/>
    <w:bookmarkEnd w:id="49"/>
    <w:bookmarkStart w:id="52"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0"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0"/>
    <w:bookmarkStart w:id="51"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1"/>
    <w:bookmarkEnd w:id="52"/>
    <w:bookmarkStart w:id="57"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3"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3"/>
    <w:bookmarkStart w:id="54"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54"/>
    <w:bookmarkStart w:id="55"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55"/>
    <w:bookmarkStart w:id="56"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56"/>
    <w:bookmarkEnd w:id="57"/>
    <w:bookmarkStart w:id="60"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58"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58"/>
    <w:bookmarkStart w:id="59"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59"/>
    <w:bookmarkEnd w:id="60"/>
    <w:bookmarkStart w:id="64"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BodyText"/>
      </w:pPr>
    </w:p>
    <w:p>
      <w:pPr>
        <w:pStyle w:val="BodyText"/>
      </w:pPr>
      <w:r>
        <w:rPr>
          <w:bCs/>
          <w:b/>
        </w:rPr>
        <w:t xml:space="preserve">Figura 3. Do Perfil Atual ao plano de ação</w:t>
      </w:r>
    </w:p>
    <w:bookmarkStart w:id="61"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61"/>
    <w:bookmarkStart w:id="62"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62"/>
    <w:bookmarkStart w:id="63"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63"/>
    <w:bookmarkEnd w:id="64"/>
    <w:bookmarkStart w:id="65"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BodyText"/>
      </w:pP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65"/>
    <w:bookmarkStart w:id="68"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66"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66"/>
    <w:bookmarkStart w:id="67"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67"/>
    <w:bookmarkEnd w:id="68"/>
    <w:bookmarkStart w:id="69"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BodyText"/>
      </w:pP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69"/>
    <w:bookmarkStart w:id="71"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BodyText"/>
      </w:pPr>
    </w:p>
    <w:p>
      <w:pPr>
        <w:pStyle w:val="BodyText"/>
      </w:pPr>
      <w:r>
        <w:rPr>
          <w:bCs/>
          <w:b/>
        </w:rPr>
        <w:t xml:space="preserve">Figura 6. Cadeia do resultado à evidência</w:t>
      </w:r>
    </w:p>
    <w:bookmarkStart w:id="70"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70"/>
    <w:bookmarkEnd w:id="71"/>
    <w:bookmarkStart w:id="74"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72"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72"/>
    <w:bookmarkStart w:id="73"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73"/>
    <w:bookmarkEnd w:id="74"/>
    <w:bookmarkStart w:id="79"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BodyText"/>
      </w:pP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75"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75"/>
    <w:bookmarkStart w:id="77"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76"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76"/>
    <w:bookmarkEnd w:id="77"/>
    <w:bookmarkStart w:id="78"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78"/>
    <w:bookmarkEnd w:id="79"/>
    <w:bookmarkStart w:id="83" w:name="guia-prático-do-csf-para-gestores"/>
    <w:p>
      <w:pPr>
        <w:pStyle w:val="Heading1"/>
      </w:pPr>
      <w:r>
        <w:t xml:space="preserve">17. Guia prático do CSF para gestores</w:t>
      </w:r>
    </w:p>
    <w:bookmarkStart w:id="80"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80"/>
    <w:bookmarkStart w:id="81"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81"/>
    <w:bookmarkStart w:id="82"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82"/>
    <w:bookmarkEnd w:id="83"/>
    <w:bookmarkStart w:id="87" w:name="de-iniciante-a-analista-júnior"/>
    <w:p>
      <w:pPr>
        <w:pStyle w:val="Heading1"/>
      </w:pPr>
      <w:r>
        <w:t xml:space="preserve">18. De iniciante a analista júnior</w:t>
      </w:r>
    </w:p>
    <w:p>
      <w:pPr>
        <w:pStyle w:val="FirstParagraph"/>
      </w:pPr>
    </w:p>
    <w:p>
      <w:pPr>
        <w:pStyle w:val="BodyText"/>
      </w:pPr>
      <w:r>
        <w:t xml:space="preserve">Figura 8. Caminho para analista júnior</w:t>
      </w:r>
    </w:p>
    <w:bookmarkStart w:id="84"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84"/>
    <w:bookmarkStart w:id="85"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85"/>
    <w:bookmarkStart w:id="86"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86"/>
    <w:bookmarkEnd w:id="87"/>
    <w:bookmarkStart w:id="88"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88"/>
    <w:bookmarkStart w:id="90"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89"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89"/>
    <w:bookmarkEnd w:id="90"/>
    <w:bookmarkStart w:id="91"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91"/>
    <w:bookmarkStart w:id="97" w:name="modelos-e-listas-de-verificação"/>
    <w:p>
      <w:pPr>
        <w:pStyle w:val="Heading1"/>
      </w:pPr>
      <w:r>
        <w:t xml:space="preserve">22. Modelos e listas de verificação</w:t>
      </w:r>
    </w:p>
    <w:bookmarkStart w:id="92"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92"/>
    <w:bookmarkStart w:id="93"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93"/>
    <w:bookmarkStart w:id="94"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94"/>
    <w:bookmarkStart w:id="95"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95"/>
    <w:bookmarkStart w:id="96"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96"/>
    <w:bookmarkEnd w:id="97"/>
    <w:bookmarkStart w:id="99"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98"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98"/>
    <w:bookmarkEnd w:id="99"/>
    <w:bookmarkStart w:id="100"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2026-07-27T19:05:31Z</dcterms:created>
  <dcterms:modified xsi:type="dcterms:W3CDTF">2026-07-27T19:05:31Z</dcterms:modified>
</cp:coreProperties>
</file>

<file path=docProps/custom.xml><?xml version="1.0" encoding="utf-8"?>
<Properties xmlns="http://schemas.openxmlformats.org/officeDocument/2006/custom-properties" xmlns:vt="http://schemas.openxmlformats.org/officeDocument/2006/docPropsVTypes"/>
</file>