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GRC</w:t>
      </w:r>
      <w:r>
        <w:t xml:space="preserve"> </w:t>
      </w:r>
      <w:r>
        <w:t xml:space="preserve">Metrics</w:t>
      </w:r>
      <w:r>
        <w:t xml:space="preserve"> </w:t>
      </w:r>
      <w:r>
        <w:t xml:space="preserve">and</w:t>
      </w:r>
      <w:r>
        <w:t xml:space="preserve"> </w:t>
      </w:r>
      <w:r>
        <w:t xml:space="preserve">Executive</w:t>
      </w:r>
      <w:r>
        <w:t xml:space="preserve"> </w:t>
      </w:r>
      <w:r>
        <w:t xml:space="preserve">Reporting</w:t>
      </w:r>
      <w:r>
        <w:t xml:space="preserve"> </w:t>
      </w:r>
      <w:r>
        <w:t xml:space="preserve">Toolkit</w:t>
      </w:r>
    </w:p>
    <w:p>
      <w:pPr>
        <w:pStyle w:val="Author"/>
      </w:pPr>
      <w:r>
        <w:t xml:space="preserve">Alberto Al Leiva</w:t>
      </w:r>
    </w:p>
    <w:p>
      <w:pPr>
        <w:pStyle w:val="Date"/>
      </w:pPr>
      <w:r>
        <w:t xml:space="preserve">2026-08-01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X78b4713e3193fafe364771e58f86b2080312f45"/>
    <w:p>
      <w:pPr>
        <w:pStyle w:val="Heading1"/>
      </w:pPr>
      <w:r>
        <w:t xml:space="preserve">GRC Metrics and Executive Reporting Toolkit</w:t>
      </w:r>
    </w:p>
    <w:p>
      <w:pPr>
        <w:pStyle w:val="BlockText"/>
      </w:pPr>
      <w:r>
        <w:t xml:space="preserve">Educational and operational guidance only. A metric, score, trend, benchmark, threshold, dashboard, maturity rating, or management report does not prove compliance, security, control effectiveness, audit assurance, or business performance.</w:t>
      </w:r>
    </w:p>
    <w:bookmarkStart w:id="20" w:name="how-to-use-this-toolkit"/>
    <w:p>
      <w:pPr>
        <w:pStyle w:val="Heading2"/>
      </w:pPr>
      <w:r>
        <w:t xml:space="preserve">How to use this toolkit</w:t>
      </w:r>
    </w:p>
    <w:p>
      <w:pPr>
        <w:pStyle w:val="FirstParagraph"/>
      </w:pPr>
      <w:r>
        <w:t xml:space="preserve">Use the chapters to design and govern a measurement program. Use the editable CSV tools to retain definitions, review decisions, executive reporting context, and resulting actions. Adapt all content to the organization’s objectives, risk profile, obligations, data, governance authorities, and reporting needs.</w:t>
      </w:r>
    </w:p>
    <w:bookmarkEnd w:id="20"/>
    <w:bookmarkStart w:id="21" w:name="editable-tools"/>
    <w:p>
      <w:pPr>
        <w:pStyle w:val="Heading2"/>
      </w:pPr>
      <w:r>
        <w:t xml:space="preserve">Editable tools</w:t>
      </w:r>
    </w:p>
    <w:p>
      <w:pPr>
        <w:numPr>
          <w:ilvl w:val="0"/>
          <w:numId w:val="1001"/>
        </w:numPr>
        <w:pStyle w:val="Compact"/>
      </w:pPr>
      <w:r>
        <w:rPr>
          <w:rStyle w:val="VerbatimChar"/>
        </w:rPr>
        <w:t xml:space="preserve">Metric_Definition_Register.csv</w:t>
      </w:r>
      <w:r>
        <w:t xml:space="preserve"> </w:t>
      </w:r>
      <w:r>
        <w:t xml:space="preserve">— 40 controlled fields</w:t>
      </w:r>
    </w:p>
    <w:p>
      <w:pPr>
        <w:numPr>
          <w:ilvl w:val="0"/>
          <w:numId w:val="1001"/>
        </w:numPr>
        <w:pStyle w:val="Compact"/>
      </w:pPr>
      <w:r>
        <w:rPr>
          <w:rStyle w:val="VerbatimChar"/>
        </w:rPr>
        <w:t xml:space="preserve">KPI_KRI_Review_Worksheet.csv</w:t>
      </w:r>
      <w:r>
        <w:t xml:space="preserve"> </w:t>
      </w:r>
      <w:r>
        <w:t xml:space="preserve">— 36 controlled fields</w:t>
      </w:r>
    </w:p>
    <w:p>
      <w:pPr>
        <w:numPr>
          <w:ilvl w:val="0"/>
          <w:numId w:val="1001"/>
        </w:numPr>
        <w:pStyle w:val="Compact"/>
      </w:pPr>
      <w:r>
        <w:rPr>
          <w:rStyle w:val="VerbatimChar"/>
        </w:rPr>
        <w:t xml:space="preserve">Executive_GRC_Scorecard.csv</w:t>
      </w:r>
      <w:r>
        <w:t xml:space="preserve"> </w:t>
      </w:r>
      <w:r>
        <w:t xml:space="preserve">— 34 controlled fields</w:t>
      </w:r>
    </w:p>
    <w:p>
      <w:pPr>
        <w:numPr>
          <w:ilvl w:val="0"/>
          <w:numId w:val="1001"/>
        </w:numPr>
        <w:pStyle w:val="Compact"/>
      </w:pPr>
      <w:r>
        <w:rPr>
          <w:rStyle w:val="VerbatimChar"/>
        </w:rPr>
        <w:t xml:space="preserve">Metrics_Action_and_Decision_Tracker.csv</w:t>
      </w:r>
      <w:r>
        <w:t xml:space="preserve"> </w:t>
      </w:r>
      <w:r>
        <w:t xml:space="preserve">— 28 controlled fields</w:t>
      </w:r>
    </w:p>
    <w:bookmarkEnd w:id="21"/>
    <w:bookmarkStart w:id="22" w:name="human-review-limitations"/>
    <w:p>
      <w:pPr>
        <w:pStyle w:val="Heading2"/>
      </w:pPr>
      <w:r>
        <w:t xml:space="preserve">Human-review limitations</w:t>
      </w:r>
    </w:p>
    <w:p>
      <w:pPr>
        <w:pStyle w:val="FirstParagraph"/>
      </w:pPr>
      <w:r>
        <w:t xml:space="preserve">Automated checks validate structure, field counts, package integrity, and selected safeguards. They do not perform legal, regulatory, standards, audit, data-quality, accessibility, native-language, statistical, or page-by-page human review.</w:t>
      </w:r>
    </w:p>
    <w:bookmarkEnd w:id="22"/>
    <w:bookmarkEnd w:id="23"/>
    <w:bookmarkStart w:id="29" w:name="metric-governance-and-decision-purpose"/>
    <w:p>
      <w:pPr>
        <w:pStyle w:val="Heading1"/>
      </w:pPr>
      <w:r>
        <w:t xml:space="preserve">Metric Governance and Decision Purpose</w:t>
      </w:r>
    </w:p>
    <w:bookmarkStart w:id="24" w:name="why-metrics-exist"/>
    <w:p>
      <w:pPr>
        <w:pStyle w:val="Heading2"/>
      </w:pPr>
      <w:r>
        <w:t xml:space="preserve">Why metrics exist</w:t>
      </w:r>
    </w:p>
    <w:p>
      <w:pPr>
        <w:pStyle w:val="FirstParagraph"/>
      </w:pPr>
      <w:r>
        <w:t xml:space="preserve">A GRC metric is a controlled decision aid. It should answer a defined question for an identified audience within a stated period and scope. A metric that has no decision purpose becomes reporting activity rather than governance information.</w:t>
      </w:r>
    </w:p>
    <w:p>
      <w:pPr>
        <w:pStyle w:val="BodyText"/>
      </w:pPr>
      <w:r>
        <w:t xml:space="preserve">Before approving a measure, document the decision it supports, who will use it, the action that may follow, the reporting cadence, and the consequence of delay or error. Measures should be retired when they no longer influence a decision, duplicate a stronger measure, or create more collection cost than decision value.</w:t>
      </w:r>
    </w:p>
    <w:bookmarkEnd w:id="24"/>
    <w:bookmarkStart w:id="25" w:name="governance-roles"/>
    <w:p>
      <w:pPr>
        <w:pStyle w:val="Heading2"/>
      </w:pPr>
      <w:r>
        <w:t xml:space="preserve">Governance roles</w:t>
      </w:r>
    </w:p>
    <w:p>
      <w:pPr>
        <w:pStyle w:val="FirstParagraph"/>
      </w:pPr>
      <w:r>
        <w:t xml:space="preserve">The governing body or delegated committee approves reporting objectives and risk appetite context. Executive management owns decisions and resources. The metric owner maintains the definition and interpretation. The data owner controls source data. The producer calculates and publishes the result. An independent reviewer checks formula, lineage, quality, and presentation. Recipients challenge assumptions and record decisions.</w:t>
      </w:r>
    </w:p>
    <w:p>
      <w:pPr>
        <w:pStyle w:val="BodyText"/>
      </w:pPr>
      <w:r>
        <w:t xml:space="preserve">No individual should be able to redefine a formula, alter a threshold, suppress an unfavorable result, and approve the final report without independent review.</w:t>
      </w:r>
    </w:p>
    <w:bookmarkEnd w:id="25"/>
    <w:bookmarkStart w:id="26" w:name="metric-classes"/>
    <w:p>
      <w:pPr>
        <w:pStyle w:val="Heading2"/>
      </w:pPr>
      <w:r>
        <w:t xml:space="preserve">Metric classes</w:t>
      </w:r>
    </w:p>
    <w:p>
      <w:pPr>
        <w:pStyle w:val="FirstParagraph"/>
      </w:pPr>
      <w:r>
        <w:t xml:space="preserve">Use explicit labels rather than the generic word</w:t>
      </w:r>
      <w:r>
        <w:t xml:space="preserve"> </w:t>
      </w:r>
      <w:r>
        <w:t xml:space="preserve">“</w:t>
      </w:r>
      <w:r>
        <w:t xml:space="preserve">metric.</w:t>
      </w:r>
      <w:r>
        <w:t xml:space="preserve">”</w:t>
      </w:r>
      <w:r>
        <w:t xml:space="preserve"> </w:t>
      </w:r>
      <w:r>
        <w:t xml:space="preserve">Common classes include:</w:t>
      </w:r>
    </w:p>
    <w:p>
      <w:pPr>
        <w:numPr>
          <w:ilvl w:val="0"/>
          <w:numId w:val="1002"/>
        </w:numPr>
        <w:pStyle w:val="Compact"/>
      </w:pPr>
      <w:r>
        <w:t xml:space="preserve">key performance indicators, which describe progress against an intended operational or program result;</w:t>
      </w:r>
    </w:p>
    <w:p>
      <w:pPr>
        <w:numPr>
          <w:ilvl w:val="0"/>
          <w:numId w:val="1002"/>
        </w:numPr>
        <w:pStyle w:val="Compact"/>
      </w:pPr>
      <w:r>
        <w:t xml:space="preserve">key risk indicators, which signal changing exposure or conditions associated with risk;</w:t>
      </w:r>
    </w:p>
    <w:p>
      <w:pPr>
        <w:numPr>
          <w:ilvl w:val="0"/>
          <w:numId w:val="1002"/>
        </w:numPr>
        <w:pStyle w:val="Compact"/>
      </w:pPr>
      <w:r>
        <w:t xml:space="preserve">key control indicators, which describe control execution or condition;</w:t>
      </w:r>
    </w:p>
    <w:p>
      <w:pPr>
        <w:numPr>
          <w:ilvl w:val="0"/>
          <w:numId w:val="1002"/>
        </w:numPr>
        <w:pStyle w:val="Compact"/>
      </w:pPr>
      <w:r>
        <w:t xml:space="preserve">assurance measures, which summarize assessment coverage or results without replacing the underlying evidence;</w:t>
      </w:r>
    </w:p>
    <w:p>
      <w:pPr>
        <w:numPr>
          <w:ilvl w:val="0"/>
          <w:numId w:val="1002"/>
        </w:numPr>
        <w:pStyle w:val="Compact"/>
      </w:pPr>
      <w:r>
        <w:t xml:space="preserve">maturity measures, which describe capability against a defined model;</w:t>
      </w:r>
    </w:p>
    <w:p>
      <w:pPr>
        <w:numPr>
          <w:ilvl w:val="0"/>
          <w:numId w:val="1002"/>
        </w:numPr>
        <w:pStyle w:val="Compact"/>
      </w:pPr>
      <w:r>
        <w:t xml:space="preserve">activity measures, which count work performed;</w:t>
      </w:r>
    </w:p>
    <w:p>
      <w:pPr>
        <w:numPr>
          <w:ilvl w:val="0"/>
          <w:numId w:val="1002"/>
        </w:numPr>
        <w:pStyle w:val="Compact"/>
      </w:pPr>
      <w:r>
        <w:t xml:space="preserve">outcome measures, which describe achieved results;</w:t>
      </w:r>
    </w:p>
    <w:p>
      <w:pPr>
        <w:numPr>
          <w:ilvl w:val="0"/>
          <w:numId w:val="1002"/>
        </w:numPr>
        <w:pStyle w:val="Compact"/>
      </w:pPr>
      <w:r>
        <w:t xml:space="preserve">exposure measures, which describe the amount or concentration of assets, processes, data, obligations, or services subject to risk.</w:t>
      </w:r>
    </w:p>
    <w:p>
      <w:pPr>
        <w:pStyle w:val="FirstParagraph"/>
      </w:pPr>
      <w:r>
        <w:t xml:space="preserve">A measure may fit more than one class, but its approved primary class and decision purpose must be recorded.</w:t>
      </w:r>
    </w:p>
    <w:bookmarkEnd w:id="26"/>
    <w:bookmarkStart w:id="27" w:name="portfolio-design"/>
    <w:p>
      <w:pPr>
        <w:pStyle w:val="Heading2"/>
      </w:pPr>
      <w:r>
        <w:t xml:space="preserve">Portfolio design</w:t>
      </w:r>
    </w:p>
    <w:p>
      <w:pPr>
        <w:pStyle w:val="FirstParagraph"/>
      </w:pPr>
      <w:r>
        <w:t xml:space="preserve">A balanced portfolio combines leading and lagging measures, quantitative and qualitative information, enterprise and local views, and activity and outcome measures. A dashboard made only of activity counts may reward volume without demonstrating risk reduction. A dashboard made only of lagging outcomes may identify deterioration too late.</w:t>
      </w:r>
    </w:p>
    <w:p>
      <w:pPr>
        <w:pStyle w:val="BodyText"/>
      </w:pPr>
      <w:r>
        <w:t xml:space="preserve">Each portfolio should document material coverage gaps, duplicated measures, known blind spots, and areas where reliable data do not exist.</w:t>
      </w:r>
    </w:p>
    <w:bookmarkEnd w:id="27"/>
    <w:bookmarkStart w:id="28" w:name="assurance-boundary"/>
    <w:p>
      <w:pPr>
        <w:pStyle w:val="Heading2"/>
      </w:pPr>
      <w:r>
        <w:t xml:space="preserve">Assurance boundary</w:t>
      </w:r>
    </w:p>
    <w:p>
      <w:pPr>
        <w:pStyle w:val="FirstParagraph"/>
      </w:pPr>
      <w:r>
        <w:t xml:space="preserve">A favorable score does not prove compliance, security, control effectiveness, audit assurance, or business performance. A metric is evidence about a defined condition under stated assumptions. Conclusions require the underlying records, context, professional judgment, and—where applicable—independent assessment.</w:t>
      </w:r>
    </w:p>
    <w:bookmarkEnd w:id="28"/>
    <w:bookmarkEnd w:id="29"/>
    <w:bookmarkStart w:id="37" w:name="Xd349e3dd853f70ff921ef26e3b3542a0f9161ce"/>
    <w:p>
      <w:pPr>
        <w:pStyle w:val="Heading1"/>
      </w:pPr>
      <w:r>
        <w:t xml:space="preserve">Definitions, Formulas, Scope, and Normalization</w:t>
      </w:r>
    </w:p>
    <w:bookmarkStart w:id="30" w:name="controlled-definition"/>
    <w:p>
      <w:pPr>
        <w:pStyle w:val="Heading2"/>
      </w:pPr>
      <w:r>
        <w:t xml:space="preserve">Controlled definition</w:t>
      </w:r>
    </w:p>
    <w:p>
      <w:pPr>
        <w:pStyle w:val="FirstParagraph"/>
      </w:pPr>
      <w:r>
        <w:t xml:space="preserve">Every approved measure needs a stable definition. At minimum, record the name, identifier, class, purpose, owner, audience, scope, population, inclusion and exclusion rules, numerator, denominator, unit, formula, direction of favorable movement, reporting period, frequency, data sources, calculation method, threshold logic, limitations, and version.</w:t>
      </w:r>
    </w:p>
    <w:p>
      <w:pPr>
        <w:pStyle w:val="BodyText"/>
      </w:pPr>
      <w:r>
        <w:t xml:space="preserve">A label such as</w:t>
      </w:r>
      <w:r>
        <w:t xml:space="preserve"> </w:t>
      </w:r>
      <w:r>
        <w:t xml:space="preserve">“</w:t>
      </w:r>
      <w:r>
        <w:t xml:space="preserve">patch compliance</w:t>
      </w:r>
      <w:r>
        <w:t xml:space="preserve">”</w:t>
      </w:r>
      <w:r>
        <w:t xml:space="preserve"> </w:t>
      </w:r>
      <w:r>
        <w:t xml:space="preserve">is insufficient. It may refer to devices patched within a service-level target, the percentage with no overdue critical findings, or the percentage successfully scanned. These are materially different measures.</w:t>
      </w:r>
    </w:p>
    <w:bookmarkEnd w:id="30"/>
    <w:bookmarkStart w:id="31" w:name="numerators-and-denominators"/>
    <w:p>
      <w:pPr>
        <w:pStyle w:val="Heading2"/>
      </w:pPr>
      <w:r>
        <w:t xml:space="preserve">Numerators and denominators</w:t>
      </w:r>
    </w:p>
    <w:p>
      <w:pPr>
        <w:pStyle w:val="FirstParagraph"/>
      </w:pPr>
      <w:r>
        <w:t xml:space="preserve">Ratios must define both numerator and denominator at the same point in time and under compatible scope rules. Report excluded, unknown, unscanned, unavailable, and newly onboarded populations separately when they could change interpretation.</w:t>
      </w:r>
    </w:p>
    <w:p>
      <w:pPr>
        <w:pStyle w:val="BodyText"/>
      </w:pPr>
      <w:r>
        <w:t xml:space="preserve">Do not silently remove failed, missing, or late records from the denominator. If data quality requires exclusion, record the reason, amount, approval, and effect on the result.</w:t>
      </w:r>
    </w:p>
    <w:bookmarkEnd w:id="31"/>
    <w:bookmarkStart w:id="32" w:name="time-and-cohort-controls"/>
    <w:p>
      <w:pPr>
        <w:pStyle w:val="Heading2"/>
      </w:pPr>
      <w:r>
        <w:t xml:space="preserve">Time and cohort controls</w:t>
      </w:r>
    </w:p>
    <w:p>
      <w:pPr>
        <w:pStyle w:val="FirstParagraph"/>
      </w:pPr>
      <w:r>
        <w:t xml:space="preserve">Specify whether the measure is a point-in-time snapshot, period total, rolling average, cohort result, cumulative value, or rate. Define event dates, cutoff times, time zones, reopened items, and late-arriving data. Comparative periods must use equivalent duration and scope unless the report discloses the difference.</w:t>
      </w:r>
    </w:p>
    <w:bookmarkEnd w:id="32"/>
    <w:bookmarkStart w:id="33" w:name="normalization"/>
    <w:p>
      <w:pPr>
        <w:pStyle w:val="Heading2"/>
      </w:pPr>
      <w:r>
        <w:t xml:space="preserve">Normalization</w:t>
      </w:r>
    </w:p>
    <w:p>
      <w:pPr>
        <w:pStyle w:val="FirstParagraph"/>
      </w:pPr>
      <w:r>
        <w:t xml:space="preserve">Raw counts can be misleading when organization size or exposure changes. Normalize only when the denominator represents the decision context. Examples include incidents per thousand endpoints, overdue actions per active finding, or exceptions per material supplier. Publish the raw count with the normalized rate when both are relevant.</w:t>
      </w:r>
    </w:p>
    <w:p>
      <w:pPr>
        <w:pStyle w:val="BodyText"/>
      </w:pPr>
      <w:r>
        <w:t xml:space="preserve">Normalization must not conceal concentration risk. A low enterprise-wide rate may coexist with severe exposure in one business unit, jurisdiction, platform, or critical service.</w:t>
      </w:r>
    </w:p>
    <w:bookmarkEnd w:id="33"/>
    <w:bookmarkStart w:id="34" w:name="aggregation"/>
    <w:p>
      <w:pPr>
        <w:pStyle w:val="Heading2"/>
      </w:pPr>
      <w:r>
        <w:t xml:space="preserve">Aggregation</w:t>
      </w:r>
    </w:p>
    <w:p>
      <w:pPr>
        <w:pStyle w:val="FirstParagraph"/>
      </w:pPr>
      <w:r>
        <w:t xml:space="preserve">Do not average percentages with unequal denominators unless the method is mathematically appropriate and documented. Enterprise aggregation should normally recompute from source numerators and denominators or use an approved weighting model. Record weights, rationale, sensitivity, and known distortion.</w:t>
      </w:r>
    </w:p>
    <w:p>
      <w:pPr>
        <w:pStyle w:val="BodyText"/>
      </w:pPr>
      <w:r>
        <w:t xml:space="preserve">Red, amber, and green states must derive from documented rules. Avoid averaging ordinal maturity scores or traffic-light states as though they were interval data unless the approved model explicitly supports that treatment.</w:t>
      </w:r>
    </w:p>
    <w:bookmarkEnd w:id="34"/>
    <w:bookmarkStart w:id="35" w:name="changes-and-restatement"/>
    <w:p>
      <w:pPr>
        <w:pStyle w:val="Heading2"/>
      </w:pPr>
      <w:r>
        <w:t xml:space="preserve">Changes and restatement</w:t>
      </w:r>
    </w:p>
    <w:p>
      <w:pPr>
        <w:pStyle w:val="FirstParagraph"/>
      </w:pPr>
      <w:r>
        <w:t xml:space="preserve">Formula, scope, threshold, source, or frequency changes require version control and impact assessment. Determine whether prior periods must be recalculated. If not restated, mark the break in series and explain why comparisons are limited.</w:t>
      </w:r>
    </w:p>
    <w:bookmarkEnd w:id="35"/>
    <w:bookmarkStart w:id="36" w:name="reproducibility"/>
    <w:p>
      <w:pPr>
        <w:pStyle w:val="Heading2"/>
      </w:pPr>
      <w:r>
        <w:t xml:space="preserve">Reproducibility</w:t>
      </w:r>
    </w:p>
    <w:p>
      <w:pPr>
        <w:pStyle w:val="FirstParagraph"/>
      </w:pPr>
      <w:r>
        <w:t xml:space="preserve">An independent reviewer should be able to reproduce the result from retained source data, transformation rules, code or workbook logic, and the approved definition. Manual adjustments must retain the original value, revised value, reason, approver, date, and supporting evidence.</w:t>
      </w:r>
    </w:p>
    <w:bookmarkEnd w:id="36"/>
    <w:bookmarkEnd w:id="37"/>
    <w:bookmarkStart w:id="45" w:name="data-lineage-quality-and-validation"/>
    <w:p>
      <w:pPr>
        <w:pStyle w:val="Heading1"/>
      </w:pPr>
      <w:r>
        <w:t xml:space="preserve">Data Lineage, Quality, and Validation</w:t>
      </w:r>
    </w:p>
    <w:bookmarkStart w:id="38" w:name="lineage"/>
    <w:p>
      <w:pPr>
        <w:pStyle w:val="Heading2"/>
      </w:pPr>
      <w:r>
        <w:t xml:space="preserve">Lineage</w:t>
      </w:r>
    </w:p>
    <w:p>
      <w:pPr>
        <w:pStyle w:val="FirstParagraph"/>
      </w:pPr>
      <w:r>
        <w:t xml:space="preserve">Each reported result must trace to authoritative source systems, extracts, transformations, calculations, adjustments, and publication outputs. Record source owners, system identifiers, query or report names, extraction timestamps, filters, joins, mapping tables, and storage locations.</w:t>
      </w:r>
    </w:p>
    <w:p>
      <w:pPr>
        <w:pStyle w:val="BodyText"/>
      </w:pPr>
      <w:r>
        <w:t xml:space="preserve">Screenshots and manually copied totals may support review but should not replace reproducible source evidence when system data are available.</w:t>
      </w:r>
    </w:p>
    <w:bookmarkEnd w:id="38"/>
    <w:bookmarkStart w:id="39" w:name="quality-dimensions"/>
    <w:p>
      <w:pPr>
        <w:pStyle w:val="Heading2"/>
      </w:pPr>
      <w:r>
        <w:t xml:space="preserve">Quality dimensions</w:t>
      </w:r>
    </w:p>
    <w:p>
      <w:pPr>
        <w:pStyle w:val="FirstParagraph"/>
      </w:pPr>
      <w:r>
        <w:t xml:space="preserve">Assess at least completeness, accuracy, validity, consistency, timeliness, uniqueness, and traceability. Define acceptance criteria appropriate to the decision. A board report may require stronger validation than an exploratory operational view.</w:t>
      </w:r>
    </w:p>
    <w:p>
      <w:pPr>
        <w:pStyle w:val="BodyText"/>
      </w:pPr>
      <w:r>
        <w:t xml:space="preserve">Unknown and missing values are data, not zero. Report their quantity and potential effect. Do not convert</w:t>
      </w:r>
      <w:r>
        <w:t xml:space="preserve"> </w:t>
      </w:r>
      <w:r>
        <w:t xml:space="preserve">“</w:t>
      </w:r>
      <w:r>
        <w:t xml:space="preserve">not assessed,</w:t>
      </w:r>
      <w:r>
        <w:t xml:space="preserve">”</w:t>
      </w:r>
      <w:r>
        <w:t xml:space="preserve"> </w:t>
      </w:r>
      <w:r>
        <w:t xml:space="preserve">“</w:t>
      </w:r>
      <w:r>
        <w:t xml:space="preserve">not applicable,</w:t>
      </w:r>
      <w:r>
        <w:t xml:space="preserve">”</w:t>
      </w:r>
      <w:r>
        <w:t xml:space="preserve"> </w:t>
      </w:r>
      <w:r>
        <w:t xml:space="preserve">and</w:t>
      </w:r>
      <w:r>
        <w:t xml:space="preserve"> </w:t>
      </w:r>
      <w:r>
        <w:t xml:space="preserve">“</w:t>
      </w:r>
      <w:r>
        <w:t xml:space="preserve">no issue</w:t>
      </w:r>
      <w:r>
        <w:t xml:space="preserve">”</w:t>
      </w:r>
      <w:r>
        <w:t xml:space="preserve"> </w:t>
      </w:r>
      <w:r>
        <w:t xml:space="preserve">into the same value.</w:t>
      </w:r>
    </w:p>
    <w:bookmarkEnd w:id="39"/>
    <w:bookmarkStart w:id="40" w:name="validation-controls"/>
    <w:p>
      <w:pPr>
        <w:pStyle w:val="Heading2"/>
      </w:pPr>
      <w:r>
        <w:t xml:space="preserve">Validation controls</w:t>
      </w:r>
    </w:p>
    <w:p>
      <w:pPr>
        <w:pStyle w:val="FirstParagraph"/>
      </w:pPr>
      <w:r>
        <w:t xml:space="preserve">Use automated schema, range, type, duplicate, reconciliation, and referential-integrity checks where practical. Add reasonableness review, source-to-report sampling, prior-period comparison, and independent formula review.</w:t>
      </w:r>
    </w:p>
    <w:p>
      <w:pPr>
        <w:pStyle w:val="BodyText"/>
      </w:pPr>
      <w:r>
        <w:t xml:space="preserve">Quality exceptions must identify the affected metric, period, records, root cause, estimated effect, compensating review, owner, corrective action, and decision on publication.</w:t>
      </w:r>
    </w:p>
    <w:bookmarkEnd w:id="40"/>
    <w:bookmarkStart w:id="41" w:name="timeliness"/>
    <w:p>
      <w:pPr>
        <w:pStyle w:val="Heading2"/>
      </w:pPr>
      <w:r>
        <w:t xml:space="preserve">Timeliness</w:t>
      </w:r>
    </w:p>
    <w:p>
      <w:pPr>
        <w:pStyle w:val="FirstParagraph"/>
      </w:pPr>
      <w:r>
        <w:t xml:space="preserve">Define the measurement date, data cutoff, extraction time, refresh cadence, and expected latency. A precisely calculated stale result can still mislead. Reports should disclose material lag and whether late data will trigger restatement.</w:t>
      </w:r>
    </w:p>
    <w:bookmarkEnd w:id="41"/>
    <w:bookmarkStart w:id="42" w:name="change-control"/>
    <w:p>
      <w:pPr>
        <w:pStyle w:val="Heading2"/>
      </w:pPr>
      <w:r>
        <w:t xml:space="preserve">Change control</w:t>
      </w:r>
    </w:p>
    <w:p>
      <w:pPr>
        <w:pStyle w:val="FirstParagraph"/>
      </w:pPr>
      <w:r>
        <w:t xml:space="preserve">Source-system changes, field renaming, migrations, new business units, acquisitions, and process redesign can break comparability. Data owners must notify metric owners before implementation when possible. Validate mapping and parallel-run results before relying on the revised pipeline.</w:t>
      </w:r>
    </w:p>
    <w:bookmarkEnd w:id="42"/>
    <w:bookmarkStart w:id="43" w:name="access-and-retention"/>
    <w:p>
      <w:pPr>
        <w:pStyle w:val="Heading2"/>
      </w:pPr>
      <w:r>
        <w:t xml:space="preserve">Access and retention</w:t>
      </w:r>
    </w:p>
    <w:p>
      <w:pPr>
        <w:pStyle w:val="FirstParagraph"/>
      </w:pPr>
      <w:r>
        <w:t xml:space="preserve">Restrict source and intermediate data according to sensitivity. Retain enough evidence to reproduce reported results and support review, while observing privacy, contractual, records-management, and legal requirements.</w:t>
      </w:r>
    </w:p>
    <w:bookmarkEnd w:id="43"/>
    <w:bookmarkStart w:id="44" w:name="quality-rating"/>
    <w:p>
      <w:pPr>
        <w:pStyle w:val="Heading2"/>
      </w:pPr>
      <w:r>
        <w:t xml:space="preserve">Quality rating</w:t>
      </w:r>
    </w:p>
    <w:p>
      <w:pPr>
        <w:pStyle w:val="FirstParagraph"/>
      </w:pPr>
      <w:r>
        <w:t xml:space="preserve">A quality rating should summarize documented tests, not replace them. Define the rating scale, evidence, reviewer, and effect on use. If quality is below the approved minimum, suppress the result or publish it with a prominent limitation and an approved decision rationale.</w:t>
      </w:r>
    </w:p>
    <w:bookmarkEnd w:id="44"/>
    <w:bookmarkEnd w:id="45"/>
    <w:bookmarkStart w:id="54" w:name="Xf0e8a28089f6dd1899581dcdcfcbaf92f932013"/>
    <w:p>
      <w:pPr>
        <w:pStyle w:val="Heading1"/>
      </w:pPr>
      <w:r>
        <w:t xml:space="preserve">Baselines, Targets, Thresholds, Trends, and Benchmarks</w:t>
      </w:r>
    </w:p>
    <w:bookmarkStart w:id="46" w:name="baselines"/>
    <w:p>
      <w:pPr>
        <w:pStyle w:val="Heading2"/>
      </w:pPr>
      <w:r>
        <w:t xml:space="preserve">Baselines</w:t>
      </w:r>
    </w:p>
    <w:p>
      <w:pPr>
        <w:pStyle w:val="FirstParagraph"/>
      </w:pPr>
      <w:r>
        <w:t xml:space="preserve">A baseline is the approved reference condition for comparison. Record the period, scope, population, calculation version, data quality, and exceptional events. Rebaseline only through controlled approval when structural change makes the original reference misleading.</w:t>
      </w:r>
    </w:p>
    <w:bookmarkEnd w:id="46"/>
    <w:bookmarkStart w:id="47" w:name="targets"/>
    <w:p>
      <w:pPr>
        <w:pStyle w:val="Heading2"/>
      </w:pPr>
      <w:r>
        <w:t xml:space="preserve">Targets</w:t>
      </w:r>
    </w:p>
    <w:p>
      <w:pPr>
        <w:pStyle w:val="FirstParagraph"/>
      </w:pPr>
      <w:r>
        <w:t xml:space="preserve">Targets express an intended result for a stated period. Link targets to strategy, risk appetite, obligations, capacity, and approved plans. Distinguish aspirational targets from funded commitments. A target should not be selected merely because it produces a favorable dashboard.</w:t>
      </w:r>
    </w:p>
    <w:bookmarkEnd w:id="47"/>
    <w:bookmarkStart w:id="48" w:name="thresholds"/>
    <w:p>
      <w:pPr>
        <w:pStyle w:val="Heading2"/>
      </w:pPr>
      <w:r>
        <w:t xml:space="preserve">Thresholds</w:t>
      </w:r>
    </w:p>
    <w:p>
      <w:pPr>
        <w:pStyle w:val="FirstParagraph"/>
      </w:pPr>
      <w:r>
        <w:t xml:space="preserve">Thresholds trigger attention or action. Define the exact boundary, direction, persistence rule, minimum sample, severity, owner, response time, and escalation path. Document whether a single breach, repeated breach, or trend triggers escalation.</w:t>
      </w:r>
    </w:p>
    <w:p>
      <w:pPr>
        <w:pStyle w:val="BodyText"/>
      </w:pPr>
      <w:r>
        <w:t xml:space="preserve">Traffic-light colors are presentation devices. The underlying numeric or qualitative criteria, uncertainty, and exceptions must remain visible.</w:t>
      </w:r>
    </w:p>
    <w:bookmarkEnd w:id="48"/>
    <w:bookmarkStart w:id="49" w:name="trends-and-variance"/>
    <w:p>
      <w:pPr>
        <w:pStyle w:val="Heading2"/>
      </w:pPr>
      <w:r>
        <w:t xml:space="preserve">Trends and variance</w:t>
      </w:r>
    </w:p>
    <w:p>
      <w:pPr>
        <w:pStyle w:val="FirstParagraph"/>
      </w:pPr>
      <w:r>
        <w:t xml:space="preserve">Show sufficient periods to distinguish noise, seasonality, and sustained movement. Explain changes in scope, denominator, source, or formula. Compare actual results with baseline, target, prior period, and forecast only where definitions remain comparable.</w:t>
      </w:r>
    </w:p>
    <w:p>
      <w:pPr>
        <w:pStyle w:val="BodyText"/>
      </w:pPr>
      <w:r>
        <w:t xml:space="preserve">Investigate favorable as well as unfavorable variance. Sudden improvement may result from denominator loss, delayed data, reclassification, or reduced detection.</w:t>
      </w:r>
    </w:p>
    <w:bookmarkEnd w:id="49"/>
    <w:bookmarkStart w:id="50" w:name="statistical-caution"/>
    <w:p>
      <w:pPr>
        <w:pStyle w:val="Heading2"/>
      </w:pPr>
      <w:r>
        <w:t xml:space="preserve">Statistical caution</w:t>
      </w:r>
    </w:p>
    <w:p>
      <w:pPr>
        <w:pStyle w:val="FirstParagraph"/>
      </w:pPr>
      <w:r>
        <w:t xml:space="preserve">Use confidence intervals, control limits, or other statistical techniques only when assumptions and sample characteristics support them. Do not imply precision beyond the data. Small populations, rare events, and dependent observations require explicit caution.</w:t>
      </w:r>
    </w:p>
    <w:bookmarkEnd w:id="50"/>
    <w:bookmarkStart w:id="51" w:name="benchmarks"/>
    <w:p>
      <w:pPr>
        <w:pStyle w:val="Heading2"/>
      </w:pPr>
      <w:r>
        <w:t xml:space="preserve">Benchmarks</w:t>
      </w:r>
    </w:p>
    <w:p>
      <w:pPr>
        <w:pStyle w:val="FirstParagraph"/>
      </w:pPr>
      <w:r>
        <w:t xml:space="preserve">External benchmarks require source, population, industry, geography, size, period, definition, and licensing review. A benchmark with a different denominator or reporting incentive may not be comparable. Internal peer comparisons require equivalent scope and quality controls.</w:t>
      </w:r>
    </w:p>
    <w:p>
      <w:pPr>
        <w:pStyle w:val="BodyText"/>
      </w:pPr>
      <w:r>
        <w:t xml:space="preserve">Benchmark position does not establish adequacy. A weak industry average is not a defensible risk target, and an above-average score does not prove compliance or security.</w:t>
      </w:r>
    </w:p>
    <w:bookmarkEnd w:id="51"/>
    <w:bookmarkStart w:id="52" w:name="forecasts-and-scenarios"/>
    <w:p>
      <w:pPr>
        <w:pStyle w:val="Heading2"/>
      </w:pPr>
      <w:r>
        <w:t xml:space="preserve">Forecasts and scenarios</w:t>
      </w:r>
    </w:p>
    <w:p>
      <w:pPr>
        <w:pStyle w:val="FirstParagraph"/>
      </w:pPr>
      <w:r>
        <w:t xml:space="preserve">Separate observed results from forecasts and scenarios. Record assumptions, model owner, confidence, sensitivity, and update date. Do not blend forecast values into actual performance without clear labels.</w:t>
      </w:r>
    </w:p>
    <w:bookmarkEnd w:id="52"/>
    <w:bookmarkStart w:id="53" w:name="escalation"/>
    <w:p>
      <w:pPr>
        <w:pStyle w:val="Heading2"/>
      </w:pPr>
      <w:r>
        <w:t xml:space="preserve">Escalation</w:t>
      </w:r>
    </w:p>
    <w:p>
      <w:pPr>
        <w:pStyle w:val="FirstParagraph"/>
      </w:pPr>
      <w:r>
        <w:t xml:space="preserve">Each material breach or adverse trend should produce an owned decision: accept with rationale, investigate, correct data, change a control, adjust resources, revise the target, or escalate. Retain the decision and completion evidence in the action tracker.</w:t>
      </w:r>
    </w:p>
    <w:bookmarkEnd w:id="53"/>
    <w:bookmarkEnd w:id="54"/>
    <w:bookmarkStart w:id="63" w:name="executive-and-board-reporting"/>
    <w:p>
      <w:pPr>
        <w:pStyle w:val="Heading1"/>
      </w:pPr>
      <w:r>
        <w:t xml:space="preserve">Executive and Board Reporting</w:t>
      </w:r>
    </w:p>
    <w:bookmarkStart w:id="55" w:name="audience-and-decision-focus"/>
    <w:p>
      <w:pPr>
        <w:pStyle w:val="Heading2"/>
      </w:pPr>
      <w:r>
        <w:t xml:space="preserve">Audience and decision focus</w:t>
      </w:r>
    </w:p>
    <w:p>
      <w:pPr>
        <w:pStyle w:val="FirstParagraph"/>
      </w:pPr>
      <w:r>
        <w:t xml:space="preserve">Executive and board reporting should lead with decisions, material exposure, trend, confidence, and required action. Operational detail belongs in supporting schedules unless it changes the decision.</w:t>
      </w:r>
    </w:p>
    <w:p>
      <w:pPr>
        <w:pStyle w:val="BodyText"/>
      </w:pPr>
      <w:r>
        <w:t xml:space="preserve">Define the recipient, governance mandate, reporting period, risk appetite context, and expected decisions. Distinguish management information from formal board reporting and preserve the approved record.</w:t>
      </w:r>
    </w:p>
    <w:bookmarkEnd w:id="55"/>
    <w:bookmarkStart w:id="56" w:name="scorecard-structure"/>
    <w:p>
      <w:pPr>
        <w:pStyle w:val="Heading2"/>
      </w:pPr>
      <w:r>
        <w:t xml:space="preserve">Scorecard structure</w:t>
      </w:r>
    </w:p>
    <w:p>
      <w:pPr>
        <w:pStyle w:val="FirstParagraph"/>
      </w:pPr>
      <w:r>
        <w:t xml:space="preserve">A useful scorecard normally includes the metric name, current result, target or threshold, prior result, trend, scope, data-quality status, concise interpretation, owner, action, due date, and escalation status. Show the underlying value rather than color alone.</w:t>
      </w:r>
    </w:p>
    <w:p>
      <w:pPr>
        <w:pStyle w:val="BodyText"/>
      </w:pPr>
      <w:r>
        <w:t xml:space="preserve">Group measures by strategic objective, material risk, obligation, control domain, or business service. Avoid a single composite score unless the weighting, sensitivity, and limitations are approved and transparent.</w:t>
      </w:r>
    </w:p>
    <w:bookmarkEnd w:id="56"/>
    <w:bookmarkStart w:id="57" w:name="narrative-interpretation"/>
    <w:p>
      <w:pPr>
        <w:pStyle w:val="Heading2"/>
      </w:pPr>
      <w:r>
        <w:t xml:space="preserve">Narrative interpretation</w:t>
      </w:r>
    </w:p>
    <w:p>
      <w:pPr>
        <w:pStyle w:val="FirstParagraph"/>
      </w:pPr>
      <w:r>
        <w:t xml:space="preserve">The narrative should explain what changed, why it matters, what is known, what remains uncertain, what management is doing, and what decision is requested. Separate fact, analysis, assumption, forecast, and recommendation.</w:t>
      </w:r>
    </w:p>
    <w:p>
      <w:pPr>
        <w:pStyle w:val="BodyText"/>
      </w:pPr>
      <w:r>
        <w:t xml:space="preserve">Do not use positive language to obscure a breach or negative language to exaggerate a small fluctuation. State material data limitations near the conclusion they affect.</w:t>
      </w:r>
    </w:p>
    <w:bookmarkEnd w:id="57"/>
    <w:bookmarkStart w:id="58" w:name="escalations-and-exceptions"/>
    <w:p>
      <w:pPr>
        <w:pStyle w:val="Heading2"/>
      </w:pPr>
      <w:r>
        <w:t xml:space="preserve">Escalations and exceptions</w:t>
      </w:r>
    </w:p>
    <w:p>
      <w:pPr>
        <w:pStyle w:val="FirstParagraph"/>
      </w:pPr>
      <w:r>
        <w:t xml:space="preserve">Report threshold breaches, overdue actions, accepted exceptions, repeated control failures, material data-quality problems, and disagreement among accountable functions. Record who accepted residual risk and under what authority.</w:t>
      </w:r>
    </w:p>
    <w:bookmarkEnd w:id="58"/>
    <w:bookmarkStart w:id="59" w:name="aggregation-and-drill-down"/>
    <w:p>
      <w:pPr>
        <w:pStyle w:val="Heading2"/>
      </w:pPr>
      <w:r>
        <w:t xml:space="preserve">Aggregation and drill-down</w:t>
      </w:r>
    </w:p>
    <w:p>
      <w:pPr>
        <w:pStyle w:val="FirstParagraph"/>
      </w:pPr>
      <w:r>
        <w:t xml:space="preserve">Enterprise summaries should allow drill-down to business unit, service, jurisdiction, asset class, or obligation where concentration matters. Aggregation must not hide a critical local condition.</w:t>
      </w:r>
    </w:p>
    <w:bookmarkEnd w:id="59"/>
    <w:bookmarkStart w:id="60" w:name="meeting-and-decision-record"/>
    <w:p>
      <w:pPr>
        <w:pStyle w:val="Heading2"/>
      </w:pPr>
      <w:r>
        <w:t xml:space="preserve">Meeting and decision record</w:t>
      </w:r>
    </w:p>
    <w:p>
      <w:pPr>
        <w:pStyle w:val="FirstParagraph"/>
      </w:pPr>
      <w:r>
        <w:t xml:space="preserve">Retain the report version presented, attendees, questions, challenges, decisions, assigned actions, due dates, and later closure evidence. Corrections after distribution require controlled reissue and notice to recipients.</w:t>
      </w:r>
    </w:p>
    <w:bookmarkEnd w:id="60"/>
    <w:bookmarkStart w:id="61" w:name="confidentiality-and-accessibility"/>
    <w:p>
      <w:pPr>
        <w:pStyle w:val="Heading2"/>
      </w:pPr>
      <w:r>
        <w:t xml:space="preserve">Confidentiality and accessibility</w:t>
      </w:r>
    </w:p>
    <w:p>
      <w:pPr>
        <w:pStyle w:val="FirstParagraph"/>
      </w:pPr>
      <w:r>
        <w:t xml:space="preserve">Classify reports according to sensitivity and restrict distribution. Avoid unnecessary personal or customer data. Use meaningful headings, readable tables, non-color indicators, defined acronyms, and accessible source formats.</w:t>
      </w:r>
    </w:p>
    <w:bookmarkEnd w:id="61"/>
    <w:bookmarkStart w:id="62" w:name="assurance-boundary-1"/>
    <w:p>
      <w:pPr>
        <w:pStyle w:val="Heading2"/>
      </w:pPr>
      <w:r>
        <w:t xml:space="preserve">Assurance boundary</w:t>
      </w:r>
    </w:p>
    <w:p>
      <w:pPr>
        <w:pStyle w:val="FirstParagraph"/>
      </w:pPr>
      <w:r>
        <w:t xml:space="preserve">Board review does not validate the source data or establish assurance. A dashboard is not a certification. Reports should state the scope, methodology, quality status, and human-review limitations needed for responsible interpretation.</w:t>
      </w:r>
    </w:p>
    <w:bookmarkEnd w:id="62"/>
    <w:bookmarkEnd w:id="63"/>
    <w:bookmarkStart w:id="71" w:name="X0f2f4e3e845d720ac1a530386c9bb8601bd247a"/>
    <w:p>
      <w:pPr>
        <w:pStyle w:val="Heading1"/>
      </w:pPr>
      <w:r>
        <w:t xml:space="preserve">Lifecycle Review, Actions, and Assurance Boundaries</w:t>
      </w:r>
    </w:p>
    <w:bookmarkStart w:id="64" w:name="periodic-review"/>
    <w:p>
      <w:pPr>
        <w:pStyle w:val="Heading2"/>
      </w:pPr>
      <w:r>
        <w:t xml:space="preserve">Periodic review</w:t>
      </w:r>
    </w:p>
    <w:p>
      <w:pPr>
        <w:pStyle w:val="FirstParagraph"/>
      </w:pPr>
      <w:r>
        <w:t xml:space="preserve">Review each metric at an approved cadence and after material changes. Confirm that the decision purpose still exists, the definition remains clear, the source is authoritative, the formula is correct, the population is complete, the threshold remains meaningful, and recipients still act on the result.</w:t>
      </w:r>
    </w:p>
    <w:p>
      <w:pPr>
        <w:pStyle w:val="BodyText"/>
      </w:pPr>
      <w:r>
        <w:t xml:space="preserve">Review should consider collection cost, duplication, manipulation risk, unintended incentives, privacy impact, accessibility, and whether the measure drives the behavior the organization intended.</w:t>
      </w:r>
    </w:p>
    <w:bookmarkEnd w:id="64"/>
    <w:bookmarkStart w:id="65" w:name="challenge-and-approval"/>
    <w:p>
      <w:pPr>
        <w:pStyle w:val="Heading2"/>
      </w:pPr>
      <w:r>
        <w:t xml:space="preserve">Challenge and approval</w:t>
      </w:r>
    </w:p>
    <w:p>
      <w:pPr>
        <w:pStyle w:val="FirstParagraph"/>
      </w:pPr>
      <w:r>
        <w:t xml:space="preserve">Metric owners should present definition changes, exceptions, unexplained variance, and quality concerns to an appropriate reviewer. Material changes require approval before the revised result is used for comparison or executive decisions.</w:t>
      </w:r>
    </w:p>
    <w:bookmarkEnd w:id="65"/>
    <w:bookmarkStart w:id="66" w:name="actions-and-decisions"/>
    <w:p>
      <w:pPr>
        <w:pStyle w:val="Heading2"/>
      </w:pPr>
      <w:r>
        <w:t xml:space="preserve">Actions and decisions</w:t>
      </w:r>
    </w:p>
    <w:p>
      <w:pPr>
        <w:pStyle w:val="FirstParagraph"/>
      </w:pPr>
      <w:r>
        <w:t xml:space="preserve">A metric has governance value only when material results produce documented decisions. Use the action and decision tracker to record the trigger, analysis, decision authority, action owner, resources, due date, dependency, escalation, completion evidence, and residual concern.</w:t>
      </w:r>
    </w:p>
    <w:p>
      <w:pPr>
        <w:pStyle w:val="BodyText"/>
      </w:pPr>
      <w:r>
        <w:t xml:space="preserve">Closing an action does not automatically resolve the underlying risk. Validate the intended outcome and determine whether the metric, threshold, or control needs revision.</w:t>
      </w:r>
    </w:p>
    <w:bookmarkEnd w:id="66"/>
    <w:bookmarkStart w:id="67" w:name="retirement"/>
    <w:p>
      <w:pPr>
        <w:pStyle w:val="Heading2"/>
      </w:pPr>
      <w:r>
        <w:t xml:space="preserve">Retirement</w:t>
      </w:r>
    </w:p>
    <w:p>
      <w:pPr>
        <w:pStyle w:val="FirstParagraph"/>
      </w:pPr>
      <w:r>
        <w:t xml:space="preserve">Retire measures that no longer support a decision, cannot be produced reliably, duplicate stronger measures, create harmful incentives, or have been replaced. Record the retirement date, approval, successor, data-retention decision, and effect on historical reports.</w:t>
      </w:r>
    </w:p>
    <w:p>
      <w:pPr>
        <w:pStyle w:val="BodyText"/>
      </w:pPr>
      <w:r>
        <w:t xml:space="preserve">Do not delete historical definitions or results needed to understand prior decisions. Mark retired measures clearly so they are not reused without review.</w:t>
      </w:r>
    </w:p>
    <w:bookmarkEnd w:id="67"/>
    <w:bookmarkStart w:id="68" w:name="continuous-improvement"/>
    <w:p>
      <w:pPr>
        <w:pStyle w:val="Heading2"/>
      </w:pPr>
      <w:r>
        <w:t xml:space="preserve">Continuous improvement</w:t>
      </w:r>
    </w:p>
    <w:p>
      <w:pPr>
        <w:pStyle w:val="FirstParagraph"/>
      </w:pPr>
      <w:r>
        <w:t xml:space="preserve">Use reporting errors, audit observations, recipient feedback, missed signals, false alarms, and action outcomes to improve the portfolio. Test whether measures detected material change early enough and whether thresholds led to proportionate action.</w:t>
      </w:r>
    </w:p>
    <w:bookmarkEnd w:id="68"/>
    <w:bookmarkStart w:id="69" w:name="independent-review"/>
    <w:p>
      <w:pPr>
        <w:pStyle w:val="Heading2"/>
      </w:pPr>
      <w:r>
        <w:t xml:space="preserve">Independent review</w:t>
      </w:r>
    </w:p>
    <w:p>
      <w:pPr>
        <w:pStyle w:val="FirstParagraph"/>
      </w:pPr>
      <w:r>
        <w:t xml:space="preserve">Where stakes justify it, use internal audit, risk oversight, quality assurance, data governance, or another independent function to review selected definitions, calculations, lineage, and reporting controls. Scope and conclusions must be explicit.</w:t>
      </w:r>
    </w:p>
    <w:bookmarkEnd w:id="69"/>
    <w:bookmarkStart w:id="70" w:name="assurance-boundaries"/>
    <w:p>
      <w:pPr>
        <w:pStyle w:val="Heading2"/>
      </w:pPr>
      <w:r>
        <w:t xml:space="preserve">Assurance boundaries</w:t>
      </w:r>
    </w:p>
    <w:p>
      <w:pPr>
        <w:pStyle w:val="FirstParagraph"/>
      </w:pPr>
      <w:r>
        <w:t xml:space="preserve">Automated QA can confirm file presence, schemas, formulas, structural parity, package integrity, and searchable text. It cannot determine whether a metric is strategically appropriate, legally required, complete, accurate in operation, free from bias, or sufficient for assurance.</w:t>
      </w:r>
    </w:p>
    <w:p>
      <w:pPr>
        <w:pStyle w:val="BodyText"/>
      </w:pPr>
      <w:r>
        <w:t xml:space="preserve">No metric, score, trend, benchmark, dashboard, management review, or automated check proves compliance, security, control effectiveness, audit assurance, or business performance. Qualified professional judgment and underlying evidence remain necessary.</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 Metrics and Executive Reporting Toolkit</dc:title>
  <dc:creator>Alberto Al Leiva</dc:creator>
  <cp:keywords/>
  <dcterms:created xsi:type="dcterms:W3CDTF">2026-08-01T21:36:26Z</dcterms:created>
  <dcterms:modified xsi:type="dcterms:W3CDTF">2026-08-01T21:36:26Z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2026-08-01</vt:lpwstr>
  </property>
  <property fmtid="{D5CDD505-2E9C-101B-9397-08002B2CF9AE}" pid="3" name="language">
    <vt:lpwstr>en</vt:lpwstr>
  </property>
  <property fmtid="{D5CDD505-2E9C-101B-9397-08002B2CF9AE}" pid="4" name="status">
    <vt:lpwstr>controlled English master</vt:lpwstr>
  </property>
  <property fmtid="{D5CDD505-2E9C-101B-9397-08002B2CF9AE}" pid="5" name="version">
    <vt:lpwstr>1.0</vt:lpwstr>
  </property>
</Properties>
</file>