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
  <Override PartName="/word/media/image12.svg" ContentType="image/svg"/>
  <Override PartName="/word/media/image14.svg" ContentType="image/svg"/>
  <Override PartName="/word/media/image16.svg" ContentType="image/svg"/>
  <Override PartName="/word/media/image18.svg" ContentType="image/svg"/>
  <Override PartName="/word/media/image2.svg" ContentType="image/svg"/>
  <Override PartName="/word/media/image20.svg" ContentType="image/svg"/>
  <Override PartName="/word/media/image4.svg" ContentType="image/svg"/>
  <Override PartName="/word/media/image6.svg" ContentType="image/svg"/>
  <Override PartName="/word/media/image8.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left"/>
        <w:rPr/>
        <w:keepNext/>
      </w:pPr>
      <w:r>
        <w:rPr/>
        <w:t>Manual 02 — Implementação do Sistema de Gestão de IA ISO/IEC 42001</w:t>
      </w:r>
    </w:p>
    <w:p>
      <w:pPr>
        <w:pStyle w:val="Subtitle"/>
        <w:bidi w:val="0"/>
        <w:spacing w:before="60" w:after="120"/>
        <w:jc w:val="left"/>
        <w:rPr/>
        <w:keepNext/>
      </w:pPr>
      <w:r>
        <w:rPr/>
        <w:t>DRAFT — HUMAN SEMANTIC REVIEW REQUIRED</w:t>
      </w:r>
    </w:p>
    <w:p>
      <w:pPr>
        <w:pStyle w:val="Author"/>
        <w:bidi w:val="0"/>
        <w:jc w:val="center"/>
        <w:rPr/>
      </w:pPr>
      <w:r>
        <w:rPr/>
        <w:t>Alberto (Al) Leiva</w:t>
      </w:r>
    </w:p>
    <w:p>
      <w:pPr>
        <w:pStyle w:val="Date"/>
        <w:bidi w:val="0"/>
        <w:jc w:val="center"/>
        <w:rPr/>
      </w:pPr>
      <w:r>
        <w:rPr/>
        <w:t>2026-08-24</w:t>
      </w:r>
    </w:p>
    <w:sdt>
      <w:sdtPr>
        <w:docPartObj>
          <w:docPartGallery w:val="Table of Contents"/>
          <w:docPartUnique w:val="true"/>
        </w:docPartObj>
      </w:sdtPr>
      <w:sdtContent>
        <w:p>
          <w:pPr>
            <w:pStyle w:val="Normal"/>
            <w:bidi w:val="0"/>
            <w:rPr/>
          </w:pPr>
          <w:r>
            <w:fldChar w:fldCharType="begin"/>
          </w:r>
          <w:r>
            <w:rPr/>
            <w:instrText xml:space="preserve"> TOC \f \o "1-3" \h</w:instrText>
          </w:r>
          <w:r>
            <w:rPr/>
            <w:fldChar w:fldCharType="separate"/>
          </w:r>
          <w:r>
            <w:rPr/>
          </w:r>
          <w:r>
            <w:rPr/>
            <w:fldChar w:fldCharType="end"/>
          </w:r>
        </w:p>
      </w:sdtContent>
    </w:sdt>
    <w:p>
      <w:pPr>
        <w:pStyle w:val="BlockQuotation"/>
        <w:bidi w:val="0"/>
        <w:ind w:hanging="0" w:start="720" w:end="0"/>
        <w:rPr>
          <w:b/>
          <w:bCs/>
        </w:rPr>
      </w:pPr>
      <w:r>
        <w:rPr>
          <w:b/>
          <w:bCs/>
        </w:rPr>
        <w:t>Controle de publicação: Este documento é um rascunho derivado mecanicamente dos quatro arquivos fonte localizados da ramificação indicada. Requer revisão semântica humana. Não é uma tradução autorizada pela ISO, e sua geração não demonstra certificação, conformidade, cumprimento legal nem asseguração de auditoria. A assistência de IA foi utilizada conforme a divulgação do repositório; a autoria e a responsabilidade humana permanecem com Alberto (Al) Leiva.</w:t>
      </w:r>
    </w:p>
    <w:p>
      <w:pPr>
        <w:pStyle w:val="BlockQuotation"/>
        <w:bidi w:val="0"/>
        <w:ind w:hanging="0" w:start="720" w:end="0"/>
        <w:rPr/>
      </w:pPr>
      <w:r>
        <w:rPr>
          <w:b/>
          <w:bCs/>
        </w:rPr>
        <w:t>Source control:</w:t>
      </w:r>
      <w:r>
        <w:rPr/>
        <w:t xml:space="preserve"> </w:t>
      </w:r>
      <w:r>
        <w:rPr>
          <w:rStyle w:val="SourceText"/>
        </w:rPr>
        <w:t>build/iso-iec-42001-manual-02-2026</w:t>
      </w:r>
      <w:r>
        <w:rPr/>
        <w:t xml:space="preserve"> @ </w:t>
      </w:r>
      <w:r>
        <w:rPr>
          <w:rStyle w:val="SourceText"/>
        </w:rPr>
        <w:t>b1ddffa6a33376ec72db570d8437f996cf61b97d</w:t>
      </w:r>
      <w:r>
        <w:rPr/>
        <w:t xml:space="preserve"> · 2026-08-24 · First Edition / v1.0</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O que este manual faz:</w:t>
      </w:r>
      <w:r>
        <w:rPr/>
        <w:t xml:space="preserve"> Explica como estabelecer, implementar, operar, auditar, preparar para certificação e melhorar um sistema de gestão de inteligência artificial. Detalha as Cláusulas 4–10, os nove grupos de controles do Anexo A, avaliação de riscos e impactos, a Declaração de Aplicabilidade, certificação, evidências, ferramentas, decisões gerenciais e o trabalho do analista júnior.</w:t>
      </w:r>
    </w:p>
    <w:p>
      <w:pPr>
        <w:pStyle w:val="Firstparagraph"/>
        <w:bidi w:val="0"/>
        <w:rPr>
          <w:b/>
          <w:bCs/>
        </w:rPr>
      </w:pPr>
      <w:r>
        <w:rPr>
          <w:b/>
          <w:bCs/>
        </w:rPr>
        <w:t>Alberto (Al) Leiva</w:t>
      </w:r>
    </w:p>
    <w:p>
      <w:pPr>
        <w:pStyle w:val="BodyText"/>
        <w:bidi w:val="0"/>
        <w:spacing w:before="86" w:after="86"/>
        <w:rPr/>
      </w:pPr>
      <w:r>
        <w:rPr/>
        <w:t>Primeira edição • julho de 2026</w:t>
      </w:r>
    </w:p>
    <w:p>
      <w:pPr>
        <w:pStyle w:val="BlockQuotation"/>
        <w:bidi w:val="0"/>
        <w:ind w:hanging="0" w:start="720" w:end="0"/>
        <w:rPr/>
      </w:pPr>
      <w:r>
        <w:rPr>
          <w:b/>
          <w:bCs/>
        </w:rPr>
        <w:t>Status da localização:</w:t>
      </w:r>
      <w:r>
        <w:rPr/>
        <w:t xml:space="preserve"> Fonte localizada em português do Brasil (</w:t>
      </w:r>
      <w:r>
        <w:rPr>
          <w:rStyle w:val="SourceText"/>
        </w:rPr>
        <w:t>pt-BR</w:t>
      </w:r>
      <w:r>
        <w:rPr/>
        <w:t>). Esta parte cobre os elementos preliminares e os Capítulos 1–8 do mestre controlado em inglês. Deve ser utilizada com as demais partes localizadas até a geração do mestre consolidado e dos artefatos DOCX/PDF. Não constitui tradução oficial da ISO.</w:t>
      </w:r>
    </w:p>
    <w:p>
      <w:pPr>
        <w:pStyle w:val="Heading1"/>
        <w:tabs>
          <w:tab w:val="clear" w:pos="709"/>
          <w:tab w:val="left" w:pos="0" w:leader="none"/>
        </w:tabs>
        <w:bidi w:val="0"/>
        <w:ind w:hanging="0" w:start="0"/>
        <w:jc w:val="left"/>
        <w:rPr/>
        <w:keepNext/>
      </w:pPr>
      <w:bookmarkStart w:id="0" w:name="prefácio"/>
      <w:r>
        <w:rPr/>
        <w:t>Prefácio</w:t>
      </w:r>
      <w:bookmarkEnd w:id="0"/>
    </w:p>
    <w:p>
      <w:pPr>
        <w:pStyle w:val="Firstparagraph"/>
        <w:bidi w:val="0"/>
        <w:rPr/>
      </w:pPr>
      <w:r>
        <w:rPr/>
        <w:t>A ISO/IEC 42001 ajuda organizações a governar a inteligência artificial por meio de um sistema de gestão em toda a organização. Ela não certifica que toda saída esteja correta nem que todo sistema de IA seja seguro. Exige liderança, contexto, planejamento baseado em riscos, recursos, controles operacionais, avaliação de desempenho, ação corretiva e melhoria contínua em torno do desenvolvimento, fornecimento ou uso responsável de sistemas de IA.</w:t>
      </w:r>
    </w:p>
    <w:p>
      <w:pPr>
        <w:pStyle w:val="BodyText"/>
        <w:bidi w:val="0"/>
        <w:spacing w:before="86" w:after="86"/>
        <w:rPr/>
      </w:pPr>
      <w:r>
        <w:rPr/>
        <w:t>Este manual explica conceitos em redação original e não reproduz a norma protegida por direitos autorais. Obtenha uma cópia autorizada da ISO/IEC 42001:2023 e de quaisquer normas utilizadas na implementação ou auditoria. Certificação, leis, deveres setoriais, contratos e riscos técnicos devem ser avaliados em relação ao escopo e aos fatos reais da organização.</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Nota de informação atual:</w:t>
      </w:r>
      <w:r>
        <w:rPr/>
        <w:t xml:space="preserve"> Verificado em 24 de agosto de 2026. A ISO/IEC 42001:2023 continua sendo a norma publicada de requisitos para SGIA. A ISO/IEC 42005:2025 fornece orientação sobre avaliação de impacto de sistemas de IA. A ISO/IEC 42006:2025 acrescenta requisitos para organismos que auditam e certificam SGIA. A ISO 19011:2026 é a orientação atual para auditoria de sistemas de gestão. A ISO/IEC 42003 continua como item de trabalho aprovado e a ISO/IEC 42007 avançou para o estágio de projeto de norma internacional; ambas continuam em desenvolvimento e não são tratadas aqui como requisitos.</w:t>
      </w:r>
    </w:p>
    <w:p>
      <w:pPr>
        <w:pStyle w:val="Heading2"/>
        <w:tabs>
          <w:tab w:val="clear" w:pos="709"/>
          <w:tab w:val="left" w:pos="0" w:leader="none"/>
        </w:tabs>
        <w:bidi w:val="0"/>
        <w:ind w:hanging="0" w:start="0"/>
        <w:jc w:val="left"/>
        <w:rPr/>
        <w:keepNext/>
      </w:pPr>
      <w:bookmarkStart w:id="1" w:name="como-utilizar-este-manual"/>
      <w:r>
        <w:rPr/>
        <w:t>Como utilizar este manual</w:t>
      </w:r>
      <w:bookmarkEnd w:id="1"/>
    </w:p>
    <w:p>
      <w:pPr>
        <w:pStyle w:val="BodyText"/>
        <w:numPr>
          <w:ilvl w:val="0"/>
          <w:numId w:val="2"/>
        </w:numPr>
        <w:bidi w:val="0"/>
        <w:spacing w:before="0" w:after="0"/>
        <w:rPr/>
      </w:pPr>
      <w:r>
        <w:rPr/>
        <w:t>Líderes e gestores do SGIA: comecem pelos Capítulos 1–10, 16–20 e 29–31.</w:t>
      </w:r>
    </w:p>
    <w:p>
      <w:pPr>
        <w:pStyle w:val="BodyText"/>
        <w:numPr>
          <w:ilvl w:val="0"/>
          <w:numId w:val="2"/>
        </w:numPr>
        <w:bidi w:val="0"/>
        <w:spacing w:before="0" w:after="0"/>
        <w:rPr/>
      </w:pPr>
      <w:r>
        <w:rPr/>
        <w:t>Implementadores e equipes de GRC: estudem em ordem e utilizem todos os modelos do Capítulo 32.</w:t>
      </w:r>
    </w:p>
    <w:p>
      <w:pPr>
        <w:pStyle w:val="BodyText"/>
        <w:numPr>
          <w:ilvl w:val="0"/>
          <w:numId w:val="2"/>
        </w:numPr>
        <w:bidi w:val="0"/>
        <w:spacing w:before="0" w:after="0"/>
        <w:rPr/>
      </w:pPr>
      <w:r>
        <w:rPr/>
        <w:t>Equipes de IA, dados, produto, segurança, privacidade e jurídico: concentrem-se nos Capítulos 6–15 e 20–28.</w:t>
      </w:r>
    </w:p>
    <w:p>
      <w:pPr>
        <w:pStyle w:val="BodyText"/>
        <w:numPr>
          <w:ilvl w:val="0"/>
          <w:numId w:val="2"/>
        </w:numPr>
        <w:bidi w:val="0"/>
        <w:spacing w:before="0" w:after="0"/>
        <w:rPr/>
      </w:pPr>
      <w:r>
        <w:rPr/>
        <w:t>Auditores internos: concentrem-se nos Capítulos 16–20 e 29 e depois pratiquem o laboratório do Capítulo 31.</w:t>
      </w:r>
    </w:p>
    <w:p>
      <w:pPr>
        <w:pStyle w:val="BodyText"/>
        <w:numPr>
          <w:ilvl w:val="0"/>
          <w:numId w:val="2"/>
        </w:numPr>
        <w:bidi w:val="0"/>
        <w:spacing w:before="0" w:after="0"/>
        <w:rPr/>
      </w:pPr>
      <w:r>
        <w:rPr/>
        <w:t>Analistas juniores: aprendam a intenção das cláusulas, produzam evidências, redijam constatações e nunca aleguem certificação ou autoridade de auditor que não possuam.</w:t>
      </w:r>
    </w:p>
    <w:p>
      <w:pPr>
        <w:pStyle w:val="Heading1"/>
        <w:tabs>
          <w:tab w:val="clear" w:pos="709"/>
          <w:tab w:val="left" w:pos="0" w:leader="none"/>
        </w:tabs>
        <w:bidi w:val="0"/>
        <w:ind w:hanging="0" w:start="0"/>
        <w:jc w:val="left"/>
        <w:rPr/>
        <w:keepNext/>
      </w:pPr>
      <w:bookmarkStart w:id="2" w:name="sumário"/>
      <w:r>
        <w:rPr/>
        <w:t>Sumário</w:t>
      </w:r>
      <w:bookmarkEnd w:id="2"/>
    </w:p>
    <w:p>
      <w:pPr>
        <w:pStyle w:val="Firstparagraph"/>
        <w:bidi w:val="0"/>
        <w:rPr/>
      </w:pPr>
      <w:r>
        <w:rPr/>
        <w:t>O arquivo-fonte em Word contém um sumário nativo e um guia permanente de capítulos com páginas. Nesta edição Markdown localizada, o guia preserva a ordem do mestre controlado.</w:t>
      </w:r>
    </w:p>
    <w:p>
      <w:pPr>
        <w:pStyle w:val="Heading1"/>
        <w:tabs>
          <w:tab w:val="clear" w:pos="709"/>
          <w:tab w:val="left" w:pos="0" w:leader="none"/>
        </w:tabs>
        <w:bidi w:val="0"/>
        <w:ind w:hanging="0" w:start="0"/>
        <w:jc w:val="left"/>
        <w:rPr/>
        <w:keepNext/>
      </w:pPr>
      <w:bookmarkStart w:id="3" w:name="guia-de-capítulos"/>
      <w:r>
        <w:rPr/>
        <w:t>Guia de capítulos</w:t>
      </w:r>
      <w:bookmarkEnd w:id="3"/>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403"/>
        <w:gridCol w:w="2553"/>
        <w:gridCol w:w="3404"/>
      </w:tblGrid>
      <w:tr>
        <w:trPr>
          <w:tblHeader w:val="true"/>
          <w:cantSplit/>
        </w:trPr>
        <w:tc>
          <w:tcPr>
            <w:tcW w:w="3403" w:type="dxa"/>
            <w:tcBorders/>
            <w:vAlign w:val="center"/>
            <w:shd w:fill="1F4E78"/>
          </w:tcPr>
          <w:p>
            <w:pPr>
              <w:pStyle w:val="TableHeading"/>
              <w:bidi w:val="0"/>
              <w:spacing w:before="0" w:after="40"/>
              <w:jc w:val="end"/>
              <w:rPr>
                <w:b/>
                <w:bCs/>
              </w:rPr>
            </w:pPr>
            <w:r>
              <w:rPr>
                <w:b/>
                <w:bCs/>
                <w:sz w:val="19"/>
                <w:color w:val="FFFFFF"/>
              </w:rPr>
              <w:t>Capítulo</w:t>
            </w:r>
          </w:p>
        </w:tc>
        <w:tc>
          <w:tcPr>
            <w:tcW w:w="2553" w:type="dxa"/>
            <w:tcBorders/>
            <w:vAlign w:val="center"/>
            <w:shd w:fill="1F4E78"/>
          </w:tcPr>
          <w:p>
            <w:pPr>
              <w:pStyle w:val="TableHeading"/>
              <w:bidi w:val="0"/>
              <w:spacing w:before="0" w:after="40"/>
              <w:rPr>
                <w:b/>
                <w:bCs/>
              </w:rPr>
            </w:pPr>
            <w:r>
              <w:rPr>
                <w:b/>
                <w:bCs/>
                <w:sz w:val="19"/>
                <w:color w:val="FFFFFF"/>
              </w:rPr>
              <w:t>Título</w:t>
            </w:r>
          </w:p>
        </w:tc>
        <w:tc>
          <w:tcPr>
            <w:tcW w:w="3404" w:type="dxa"/>
            <w:tcBorders/>
            <w:vAlign w:val="center"/>
            <w:shd w:fill="1F4E78"/>
          </w:tcPr>
          <w:p>
            <w:pPr>
              <w:pStyle w:val="TableHeading"/>
              <w:bidi w:val="0"/>
              <w:spacing w:before="0" w:after="40"/>
              <w:jc w:val="end"/>
              <w:rPr>
                <w:b/>
                <w:bCs/>
              </w:rPr>
            </w:pPr>
            <w:r>
              <w:rPr>
                <w:b/>
                <w:bCs/>
                <w:sz w:val="19"/>
                <w:color w:val="FFFFFF"/>
              </w:rPr>
              <w:t>Página inicial no mestre inglês</w:t>
            </w:r>
          </w:p>
        </w:tc>
      </w:tr>
      <w:tr>
        <w:trPr>
          <w:cantSplit/>
        </w:trPr>
        <w:tc>
          <w:tcPr>
            <w:tcW w:w="3403" w:type="dxa"/>
            <w:tcBorders/>
            <w:vAlign w:val="center"/>
          </w:tcPr>
          <w:p>
            <w:pPr>
              <w:pStyle w:val="TableContents"/>
              <w:bidi w:val="0"/>
              <w:spacing w:before="0" w:after="40"/>
              <w:jc w:val="end"/>
              <w:rPr/>
            </w:pPr>
            <w:r>
              <w:rPr>
                <w:sz w:val="19"/>
              </w:rPr>
              <w:t>1</w:t>
            </w:r>
          </w:p>
        </w:tc>
        <w:tc>
          <w:tcPr>
            <w:tcW w:w="2553" w:type="dxa"/>
            <w:tcBorders/>
            <w:vAlign w:val="center"/>
          </w:tcPr>
          <w:p>
            <w:pPr>
              <w:pStyle w:val="TableContents"/>
              <w:suppressLineNumbers/>
              <w:bidi w:val="0"/>
              <w:spacing w:before="0" w:after="40"/>
              <w:ind w:hanging="0" w:start="43" w:end="43"/>
              <w:rPr/>
            </w:pPr>
            <w:r>
              <w:rPr>
                <w:sz w:val="19"/>
              </w:rPr>
              <w:t>ISO/IEC 42001 e o sistema de gestão de inteligência artificial</w:t>
            </w:r>
          </w:p>
        </w:tc>
        <w:tc>
          <w:tcPr>
            <w:tcW w:w="3404" w:type="dxa"/>
            <w:tcBorders/>
            <w:vAlign w:val="center"/>
          </w:tcPr>
          <w:p>
            <w:pPr>
              <w:pStyle w:val="TableContents"/>
              <w:bidi w:val="0"/>
              <w:spacing w:before="0" w:after="40"/>
              <w:jc w:val="end"/>
              <w:rPr/>
            </w:pPr>
            <w:r>
              <w:rPr>
                <w:sz w:val="19"/>
              </w:rPr>
              <w:t>5</w:t>
            </w:r>
          </w:p>
        </w:tc>
      </w:tr>
      <w:tr>
        <w:trPr>
          <w:cantSplit/>
        </w:trPr>
        <w:tc>
          <w:tcPr>
            <w:tcW w:w="3403" w:type="dxa"/>
            <w:tcBorders/>
            <w:vAlign w:val="center"/>
          </w:tcPr>
          <w:p>
            <w:pPr>
              <w:pStyle w:val="TableContents"/>
              <w:bidi w:val="0"/>
              <w:spacing w:before="0" w:after="40"/>
              <w:jc w:val="end"/>
              <w:rPr/>
            </w:pPr>
            <w:r>
              <w:rPr>
                <w:sz w:val="19"/>
              </w:rPr>
              <w:t>2</w:t>
            </w:r>
          </w:p>
        </w:tc>
        <w:tc>
          <w:tcPr>
            <w:tcW w:w="2553" w:type="dxa"/>
            <w:tcBorders/>
            <w:vAlign w:val="center"/>
          </w:tcPr>
          <w:p>
            <w:pPr>
              <w:pStyle w:val="TableContents"/>
              <w:suppressLineNumbers/>
              <w:bidi w:val="0"/>
              <w:spacing w:before="0" w:after="40"/>
              <w:ind w:hanging="0" w:start="43" w:end="43"/>
              <w:rPr/>
            </w:pPr>
            <w:r>
              <w:rPr>
                <w:sz w:val="19"/>
              </w:rPr>
              <w:t>Arquitetura do SGIA e ciclo Planejar-Fazer-Verificar-Agir</w:t>
            </w:r>
          </w:p>
        </w:tc>
        <w:tc>
          <w:tcPr>
            <w:tcW w:w="3404" w:type="dxa"/>
            <w:tcBorders/>
            <w:vAlign w:val="center"/>
          </w:tcPr>
          <w:p>
            <w:pPr>
              <w:pStyle w:val="TableContents"/>
              <w:bidi w:val="0"/>
              <w:spacing w:before="0" w:after="40"/>
              <w:jc w:val="end"/>
              <w:rPr/>
            </w:pPr>
            <w:r>
              <w:rPr>
                <w:sz w:val="19"/>
              </w:rPr>
              <w:t>6</w:t>
            </w:r>
          </w:p>
        </w:tc>
      </w:tr>
      <w:tr>
        <w:trPr>
          <w:cantSplit/>
        </w:trPr>
        <w:tc>
          <w:tcPr>
            <w:tcW w:w="3403" w:type="dxa"/>
            <w:tcBorders/>
            <w:vAlign w:val="center"/>
          </w:tcPr>
          <w:p>
            <w:pPr>
              <w:pStyle w:val="TableContents"/>
              <w:bidi w:val="0"/>
              <w:spacing w:before="0" w:after="40"/>
              <w:jc w:val="end"/>
              <w:rPr/>
            </w:pPr>
            <w:r>
              <w:rPr>
                <w:sz w:val="19"/>
              </w:rPr>
              <w:t>3</w:t>
            </w:r>
          </w:p>
        </w:tc>
        <w:tc>
          <w:tcPr>
            <w:tcW w:w="2553" w:type="dxa"/>
            <w:tcBorders/>
            <w:vAlign w:val="center"/>
          </w:tcPr>
          <w:p>
            <w:pPr>
              <w:pStyle w:val="TableContents"/>
              <w:suppressLineNumbers/>
              <w:bidi w:val="0"/>
              <w:spacing w:before="0" w:after="40"/>
              <w:ind w:hanging="0" w:start="43" w:end="43"/>
              <w:rPr/>
            </w:pPr>
            <w:r>
              <w:rPr>
                <w:sz w:val="19"/>
              </w:rPr>
              <w:t>Aplicabilidade, papéis organizacionais e roteiro de implementação</w:t>
            </w:r>
          </w:p>
        </w:tc>
        <w:tc>
          <w:tcPr>
            <w:tcW w:w="3404" w:type="dxa"/>
            <w:tcBorders/>
            <w:vAlign w:val="center"/>
          </w:tcPr>
          <w:p>
            <w:pPr>
              <w:pStyle w:val="TableContents"/>
              <w:bidi w:val="0"/>
              <w:spacing w:before="0" w:after="40"/>
              <w:jc w:val="end"/>
              <w:rPr/>
            </w:pPr>
            <w:r>
              <w:rPr>
                <w:sz w:val="19"/>
              </w:rPr>
              <w:t>7</w:t>
            </w:r>
          </w:p>
        </w:tc>
      </w:tr>
      <w:tr>
        <w:trPr>
          <w:cantSplit/>
        </w:trPr>
        <w:tc>
          <w:tcPr>
            <w:tcW w:w="3403" w:type="dxa"/>
            <w:tcBorders/>
            <w:vAlign w:val="center"/>
          </w:tcPr>
          <w:p>
            <w:pPr>
              <w:pStyle w:val="TableContents"/>
              <w:bidi w:val="0"/>
              <w:spacing w:before="0" w:after="40"/>
              <w:jc w:val="end"/>
              <w:rPr/>
            </w:pPr>
            <w:r>
              <w:rPr>
                <w:sz w:val="19"/>
              </w:rPr>
              <w:t>4</w:t>
            </w:r>
          </w:p>
        </w:tc>
        <w:tc>
          <w:tcPr>
            <w:tcW w:w="2553" w:type="dxa"/>
            <w:tcBorders/>
            <w:vAlign w:val="center"/>
          </w:tcPr>
          <w:p>
            <w:pPr>
              <w:pStyle w:val="TableContents"/>
              <w:suppressLineNumbers/>
              <w:bidi w:val="0"/>
              <w:spacing w:before="0" w:after="40"/>
              <w:ind w:hanging="0" w:start="43" w:end="43"/>
              <w:rPr/>
            </w:pPr>
            <w:r>
              <w:rPr>
                <w:sz w:val="19"/>
              </w:rPr>
              <w:t>Cláusula 4: Contexto da organização</w:t>
            </w:r>
          </w:p>
        </w:tc>
        <w:tc>
          <w:tcPr>
            <w:tcW w:w="3404" w:type="dxa"/>
            <w:tcBorders/>
            <w:vAlign w:val="center"/>
          </w:tcPr>
          <w:p>
            <w:pPr>
              <w:pStyle w:val="TableContents"/>
              <w:bidi w:val="0"/>
              <w:spacing w:before="0" w:after="40"/>
              <w:jc w:val="end"/>
              <w:rPr/>
            </w:pPr>
            <w:r>
              <w:rPr>
                <w:sz w:val="19"/>
              </w:rPr>
              <w:t>9</w:t>
            </w:r>
          </w:p>
        </w:tc>
      </w:tr>
      <w:tr>
        <w:trPr>
          <w:cantSplit/>
        </w:trPr>
        <w:tc>
          <w:tcPr>
            <w:tcW w:w="3403" w:type="dxa"/>
            <w:tcBorders/>
            <w:vAlign w:val="center"/>
          </w:tcPr>
          <w:p>
            <w:pPr>
              <w:pStyle w:val="TableContents"/>
              <w:bidi w:val="0"/>
              <w:spacing w:before="0" w:after="40"/>
              <w:jc w:val="end"/>
              <w:rPr/>
            </w:pPr>
            <w:r>
              <w:rPr>
                <w:sz w:val="19"/>
              </w:rPr>
              <w:t>5</w:t>
            </w:r>
          </w:p>
        </w:tc>
        <w:tc>
          <w:tcPr>
            <w:tcW w:w="2553" w:type="dxa"/>
            <w:tcBorders/>
            <w:vAlign w:val="center"/>
          </w:tcPr>
          <w:p>
            <w:pPr>
              <w:pStyle w:val="TableContents"/>
              <w:suppressLineNumbers/>
              <w:bidi w:val="0"/>
              <w:spacing w:before="0" w:after="40"/>
              <w:ind w:hanging="0" w:start="43" w:end="43"/>
              <w:rPr/>
            </w:pPr>
            <w:r>
              <w:rPr>
                <w:sz w:val="19"/>
              </w:rPr>
              <w:t>Cláusula 5: Liderança</w:t>
            </w:r>
          </w:p>
        </w:tc>
        <w:tc>
          <w:tcPr>
            <w:tcW w:w="3404" w:type="dxa"/>
            <w:tcBorders/>
            <w:vAlign w:val="center"/>
          </w:tcPr>
          <w:p>
            <w:pPr>
              <w:pStyle w:val="TableContents"/>
              <w:bidi w:val="0"/>
              <w:spacing w:before="0" w:after="40"/>
              <w:jc w:val="end"/>
              <w:rPr/>
            </w:pPr>
            <w:r>
              <w:rPr>
                <w:sz w:val="19"/>
              </w:rPr>
              <w:t>10</w:t>
            </w:r>
          </w:p>
        </w:tc>
      </w:tr>
      <w:tr>
        <w:trPr>
          <w:cantSplit/>
        </w:trPr>
        <w:tc>
          <w:tcPr>
            <w:tcW w:w="3403" w:type="dxa"/>
            <w:tcBorders/>
            <w:vAlign w:val="center"/>
          </w:tcPr>
          <w:p>
            <w:pPr>
              <w:pStyle w:val="TableContents"/>
              <w:bidi w:val="0"/>
              <w:spacing w:before="0" w:after="40"/>
              <w:jc w:val="end"/>
              <w:rPr/>
            </w:pPr>
            <w:r>
              <w:rPr>
                <w:sz w:val="19"/>
              </w:rPr>
              <w:t>6</w:t>
            </w:r>
          </w:p>
        </w:tc>
        <w:tc>
          <w:tcPr>
            <w:tcW w:w="2553" w:type="dxa"/>
            <w:tcBorders/>
            <w:vAlign w:val="center"/>
          </w:tcPr>
          <w:p>
            <w:pPr>
              <w:pStyle w:val="TableContents"/>
              <w:suppressLineNumbers/>
              <w:bidi w:val="0"/>
              <w:spacing w:before="0" w:after="40"/>
              <w:ind w:hanging="0" w:start="43" w:end="43"/>
              <w:rPr/>
            </w:pPr>
            <w:r>
              <w:rPr>
                <w:sz w:val="19"/>
              </w:rPr>
              <w:t>Cláusula 6.1: Ações para abordar riscos e oportunidades</w:t>
            </w:r>
          </w:p>
        </w:tc>
        <w:tc>
          <w:tcPr>
            <w:tcW w:w="3404" w:type="dxa"/>
            <w:tcBorders/>
            <w:vAlign w:val="center"/>
          </w:tcPr>
          <w:p>
            <w:pPr>
              <w:pStyle w:val="TableContents"/>
              <w:bidi w:val="0"/>
              <w:spacing w:before="0" w:after="40"/>
              <w:jc w:val="end"/>
              <w:rPr/>
            </w:pPr>
            <w:r>
              <w:rPr>
                <w:sz w:val="19"/>
              </w:rPr>
              <w:t>11</w:t>
            </w:r>
          </w:p>
        </w:tc>
      </w:tr>
      <w:tr>
        <w:trPr>
          <w:cantSplit/>
        </w:trPr>
        <w:tc>
          <w:tcPr>
            <w:tcW w:w="3403" w:type="dxa"/>
            <w:tcBorders/>
            <w:vAlign w:val="center"/>
          </w:tcPr>
          <w:p>
            <w:pPr>
              <w:pStyle w:val="TableContents"/>
              <w:bidi w:val="0"/>
              <w:spacing w:before="0" w:after="40"/>
              <w:jc w:val="end"/>
              <w:rPr/>
            </w:pPr>
            <w:r>
              <w:rPr>
                <w:sz w:val="19"/>
              </w:rPr>
              <w:t>7</w:t>
            </w:r>
          </w:p>
        </w:tc>
        <w:tc>
          <w:tcPr>
            <w:tcW w:w="2553" w:type="dxa"/>
            <w:tcBorders/>
            <w:vAlign w:val="center"/>
          </w:tcPr>
          <w:p>
            <w:pPr>
              <w:pStyle w:val="TableContents"/>
              <w:suppressLineNumbers/>
              <w:bidi w:val="0"/>
              <w:spacing w:before="0" w:after="40"/>
              <w:ind w:hanging="0" w:start="43" w:end="43"/>
              <w:rPr/>
            </w:pPr>
            <w:r>
              <w:rPr>
                <w:sz w:val="19"/>
              </w:rPr>
              <w:t>Cláusula 6.1.2: Avaliação de riscos de IA</w:t>
            </w:r>
          </w:p>
        </w:tc>
        <w:tc>
          <w:tcPr>
            <w:tcW w:w="3404" w:type="dxa"/>
            <w:tcBorders/>
            <w:vAlign w:val="center"/>
          </w:tcPr>
          <w:p>
            <w:pPr>
              <w:pStyle w:val="TableContents"/>
              <w:bidi w:val="0"/>
              <w:spacing w:before="0" w:after="40"/>
              <w:jc w:val="end"/>
              <w:rPr/>
            </w:pPr>
            <w:r>
              <w:rPr>
                <w:sz w:val="19"/>
              </w:rPr>
              <w:t>12</w:t>
            </w:r>
          </w:p>
        </w:tc>
      </w:tr>
      <w:tr>
        <w:trPr>
          <w:cantSplit/>
        </w:trPr>
        <w:tc>
          <w:tcPr>
            <w:tcW w:w="3403" w:type="dxa"/>
            <w:tcBorders/>
            <w:vAlign w:val="center"/>
          </w:tcPr>
          <w:p>
            <w:pPr>
              <w:pStyle w:val="TableContents"/>
              <w:bidi w:val="0"/>
              <w:spacing w:before="0" w:after="40"/>
              <w:jc w:val="end"/>
              <w:rPr/>
            </w:pPr>
            <w:r>
              <w:rPr>
                <w:sz w:val="19"/>
              </w:rPr>
              <w:t>8</w:t>
            </w:r>
          </w:p>
        </w:tc>
        <w:tc>
          <w:tcPr>
            <w:tcW w:w="2553" w:type="dxa"/>
            <w:tcBorders/>
            <w:vAlign w:val="center"/>
          </w:tcPr>
          <w:p>
            <w:pPr>
              <w:pStyle w:val="TableContents"/>
              <w:suppressLineNumbers/>
              <w:bidi w:val="0"/>
              <w:spacing w:before="0" w:after="40"/>
              <w:ind w:hanging="0" w:start="43" w:end="43"/>
              <w:rPr/>
            </w:pPr>
            <w:r>
              <w:rPr>
                <w:sz w:val="19"/>
              </w:rPr>
              <w:t>Cláusula 6.1.3: Tratamento de riscos de IA e Declaração de Aplicabilidade</w:t>
            </w:r>
          </w:p>
        </w:tc>
        <w:tc>
          <w:tcPr>
            <w:tcW w:w="3404" w:type="dxa"/>
            <w:tcBorders/>
            <w:vAlign w:val="center"/>
          </w:tcPr>
          <w:p>
            <w:pPr>
              <w:pStyle w:val="TableContents"/>
              <w:bidi w:val="0"/>
              <w:spacing w:before="0" w:after="40"/>
              <w:jc w:val="end"/>
              <w:rPr/>
            </w:pPr>
            <w:r>
              <w:rPr>
                <w:sz w:val="19"/>
              </w:rPr>
              <w:t>14</w:t>
            </w:r>
          </w:p>
        </w:tc>
      </w:tr>
      <w:tr>
        <w:trPr>
          <w:cantSplit/>
        </w:trPr>
        <w:tc>
          <w:tcPr>
            <w:tcW w:w="3403" w:type="dxa"/>
            <w:tcBorders/>
            <w:vAlign w:val="center"/>
          </w:tcPr>
          <w:p>
            <w:pPr>
              <w:pStyle w:val="TableContents"/>
              <w:bidi w:val="0"/>
              <w:spacing w:before="0" w:after="40"/>
              <w:jc w:val="end"/>
              <w:rPr/>
            </w:pPr>
            <w:r>
              <w:rPr>
                <w:sz w:val="19"/>
              </w:rPr>
              <w:t>9</w:t>
            </w:r>
          </w:p>
        </w:tc>
        <w:tc>
          <w:tcPr>
            <w:tcW w:w="2553" w:type="dxa"/>
            <w:tcBorders/>
            <w:vAlign w:val="center"/>
          </w:tcPr>
          <w:p>
            <w:pPr>
              <w:pStyle w:val="TableContents"/>
              <w:suppressLineNumbers/>
              <w:bidi w:val="0"/>
              <w:spacing w:before="0" w:after="40"/>
              <w:ind w:hanging="0" w:start="43" w:end="43"/>
              <w:rPr/>
            </w:pPr>
            <w:r>
              <w:rPr>
                <w:sz w:val="19"/>
              </w:rPr>
              <w:t>Cláusula 6.1.4: Avaliação de impacto de sistemas de IA</w:t>
            </w:r>
          </w:p>
        </w:tc>
        <w:tc>
          <w:tcPr>
            <w:tcW w:w="3404" w:type="dxa"/>
            <w:tcBorders/>
            <w:vAlign w:val="center"/>
          </w:tcPr>
          <w:p>
            <w:pPr>
              <w:pStyle w:val="TableContents"/>
              <w:bidi w:val="0"/>
              <w:spacing w:before="0" w:after="40"/>
              <w:jc w:val="end"/>
              <w:rPr/>
            </w:pPr>
            <w:r>
              <w:rPr>
                <w:sz w:val="19"/>
              </w:rPr>
              <w:t>15</w:t>
            </w:r>
          </w:p>
        </w:tc>
      </w:tr>
      <w:tr>
        <w:trPr>
          <w:cantSplit/>
        </w:trPr>
        <w:tc>
          <w:tcPr>
            <w:tcW w:w="3403" w:type="dxa"/>
            <w:tcBorders/>
            <w:vAlign w:val="center"/>
          </w:tcPr>
          <w:p>
            <w:pPr>
              <w:pStyle w:val="TableContents"/>
              <w:bidi w:val="0"/>
              <w:spacing w:before="0" w:after="40"/>
              <w:jc w:val="end"/>
              <w:rPr/>
            </w:pPr>
            <w:r>
              <w:rPr>
                <w:sz w:val="19"/>
              </w:rPr>
              <w:t>10</w:t>
            </w:r>
          </w:p>
        </w:tc>
        <w:tc>
          <w:tcPr>
            <w:tcW w:w="2553" w:type="dxa"/>
            <w:tcBorders/>
            <w:vAlign w:val="center"/>
          </w:tcPr>
          <w:p>
            <w:pPr>
              <w:pStyle w:val="TableContents"/>
              <w:suppressLineNumbers/>
              <w:bidi w:val="0"/>
              <w:spacing w:before="0" w:after="40"/>
              <w:ind w:hanging="0" w:start="43" w:end="43"/>
              <w:rPr/>
            </w:pPr>
            <w:r>
              <w:rPr>
                <w:sz w:val="19"/>
              </w:rPr>
              <w:t>Cláusulas 6.2 e 6.3: Objetivos e planejamento de mudanças</w:t>
            </w:r>
          </w:p>
        </w:tc>
        <w:tc>
          <w:tcPr>
            <w:tcW w:w="3404" w:type="dxa"/>
            <w:tcBorders/>
            <w:vAlign w:val="center"/>
          </w:tcPr>
          <w:p>
            <w:pPr>
              <w:pStyle w:val="TableContents"/>
              <w:bidi w:val="0"/>
              <w:spacing w:before="0" w:after="40"/>
              <w:jc w:val="end"/>
              <w:rPr/>
            </w:pPr>
            <w:r>
              <w:rPr>
                <w:sz w:val="19"/>
              </w:rPr>
              <w:t>17</w:t>
            </w:r>
          </w:p>
        </w:tc>
      </w:tr>
      <w:tr>
        <w:trPr>
          <w:cantSplit/>
        </w:trPr>
        <w:tc>
          <w:tcPr>
            <w:tcW w:w="3403" w:type="dxa"/>
            <w:tcBorders/>
            <w:vAlign w:val="center"/>
          </w:tcPr>
          <w:p>
            <w:pPr>
              <w:pStyle w:val="TableContents"/>
              <w:bidi w:val="0"/>
              <w:spacing w:before="0" w:after="40"/>
              <w:jc w:val="end"/>
              <w:rPr/>
            </w:pPr>
            <w:r>
              <w:rPr>
                <w:sz w:val="19"/>
              </w:rPr>
              <w:t>11</w:t>
            </w:r>
          </w:p>
        </w:tc>
        <w:tc>
          <w:tcPr>
            <w:tcW w:w="2553" w:type="dxa"/>
            <w:tcBorders/>
            <w:vAlign w:val="center"/>
          </w:tcPr>
          <w:p>
            <w:pPr>
              <w:pStyle w:val="TableContents"/>
              <w:suppressLineNumbers/>
              <w:bidi w:val="0"/>
              <w:spacing w:before="0" w:after="40"/>
              <w:ind w:hanging="0" w:start="43" w:end="43"/>
              <w:rPr/>
            </w:pPr>
            <w:r>
              <w:rPr>
                <w:sz w:val="19"/>
              </w:rPr>
              <w:t>Cláusula 7.1: Recursos</w:t>
            </w:r>
          </w:p>
        </w:tc>
        <w:tc>
          <w:tcPr>
            <w:tcW w:w="3404" w:type="dxa"/>
            <w:tcBorders/>
            <w:vAlign w:val="center"/>
          </w:tcPr>
          <w:p>
            <w:pPr>
              <w:pStyle w:val="TableContents"/>
              <w:bidi w:val="0"/>
              <w:spacing w:before="0" w:after="40"/>
              <w:jc w:val="end"/>
              <w:rPr/>
            </w:pPr>
            <w:r>
              <w:rPr>
                <w:sz w:val="19"/>
              </w:rPr>
              <w:t>18</w:t>
            </w:r>
          </w:p>
        </w:tc>
      </w:tr>
      <w:tr>
        <w:trPr>
          <w:cantSplit/>
        </w:trPr>
        <w:tc>
          <w:tcPr>
            <w:tcW w:w="3403" w:type="dxa"/>
            <w:tcBorders/>
            <w:vAlign w:val="center"/>
          </w:tcPr>
          <w:p>
            <w:pPr>
              <w:pStyle w:val="TableContents"/>
              <w:bidi w:val="0"/>
              <w:spacing w:before="0" w:after="40"/>
              <w:jc w:val="end"/>
              <w:rPr/>
            </w:pPr>
            <w:r>
              <w:rPr>
                <w:sz w:val="19"/>
              </w:rPr>
              <w:t>12</w:t>
            </w:r>
          </w:p>
        </w:tc>
        <w:tc>
          <w:tcPr>
            <w:tcW w:w="2553" w:type="dxa"/>
            <w:tcBorders/>
            <w:vAlign w:val="center"/>
          </w:tcPr>
          <w:p>
            <w:pPr>
              <w:pStyle w:val="TableContents"/>
              <w:suppressLineNumbers/>
              <w:bidi w:val="0"/>
              <w:spacing w:before="0" w:after="40"/>
              <w:ind w:hanging="0" w:start="43" w:end="43"/>
              <w:rPr/>
            </w:pPr>
            <w:r>
              <w:rPr>
                <w:sz w:val="19"/>
              </w:rPr>
              <w:t>Cláusulas 7.2–7.4: Competência, conscientização e comunicação</w:t>
            </w:r>
          </w:p>
        </w:tc>
        <w:tc>
          <w:tcPr>
            <w:tcW w:w="3404" w:type="dxa"/>
            <w:tcBorders/>
            <w:vAlign w:val="center"/>
          </w:tcPr>
          <w:p>
            <w:pPr>
              <w:pStyle w:val="TableContents"/>
              <w:bidi w:val="0"/>
              <w:spacing w:before="0" w:after="40"/>
              <w:jc w:val="end"/>
              <w:rPr/>
            </w:pPr>
            <w:r>
              <w:rPr>
                <w:sz w:val="19"/>
              </w:rPr>
              <w:t>19</w:t>
            </w:r>
          </w:p>
        </w:tc>
      </w:tr>
      <w:tr>
        <w:trPr>
          <w:cantSplit/>
        </w:trPr>
        <w:tc>
          <w:tcPr>
            <w:tcW w:w="3403" w:type="dxa"/>
            <w:tcBorders/>
            <w:vAlign w:val="center"/>
          </w:tcPr>
          <w:p>
            <w:pPr>
              <w:pStyle w:val="TableContents"/>
              <w:bidi w:val="0"/>
              <w:spacing w:before="0" w:after="40"/>
              <w:jc w:val="end"/>
              <w:rPr/>
            </w:pPr>
            <w:r>
              <w:rPr>
                <w:sz w:val="19"/>
              </w:rPr>
              <w:t>13</w:t>
            </w:r>
          </w:p>
        </w:tc>
        <w:tc>
          <w:tcPr>
            <w:tcW w:w="2553" w:type="dxa"/>
            <w:tcBorders/>
            <w:vAlign w:val="center"/>
          </w:tcPr>
          <w:p>
            <w:pPr>
              <w:pStyle w:val="TableContents"/>
              <w:suppressLineNumbers/>
              <w:bidi w:val="0"/>
              <w:spacing w:before="0" w:after="40"/>
              <w:ind w:hanging="0" w:start="43" w:end="43"/>
              <w:rPr/>
            </w:pPr>
            <w:r>
              <w:rPr>
                <w:sz w:val="19"/>
              </w:rPr>
              <w:t>Cláusula 7.5: Informação documentada</w:t>
            </w:r>
          </w:p>
        </w:tc>
        <w:tc>
          <w:tcPr>
            <w:tcW w:w="3404" w:type="dxa"/>
            <w:tcBorders/>
            <w:vAlign w:val="center"/>
          </w:tcPr>
          <w:p>
            <w:pPr>
              <w:pStyle w:val="TableContents"/>
              <w:bidi w:val="0"/>
              <w:spacing w:before="0" w:after="40"/>
              <w:jc w:val="end"/>
              <w:rPr/>
            </w:pPr>
            <w:r>
              <w:rPr>
                <w:sz w:val="19"/>
              </w:rPr>
              <w:t>20</w:t>
            </w:r>
          </w:p>
        </w:tc>
      </w:tr>
      <w:tr>
        <w:trPr>
          <w:cantSplit/>
        </w:trPr>
        <w:tc>
          <w:tcPr>
            <w:tcW w:w="3403" w:type="dxa"/>
            <w:tcBorders/>
            <w:vAlign w:val="center"/>
          </w:tcPr>
          <w:p>
            <w:pPr>
              <w:pStyle w:val="TableContents"/>
              <w:bidi w:val="0"/>
              <w:spacing w:before="0" w:after="40"/>
              <w:jc w:val="end"/>
              <w:rPr/>
            </w:pPr>
            <w:r>
              <w:rPr>
                <w:sz w:val="19"/>
              </w:rPr>
              <w:t>14</w:t>
            </w:r>
          </w:p>
        </w:tc>
        <w:tc>
          <w:tcPr>
            <w:tcW w:w="2553" w:type="dxa"/>
            <w:tcBorders/>
            <w:vAlign w:val="center"/>
          </w:tcPr>
          <w:p>
            <w:pPr>
              <w:pStyle w:val="TableContents"/>
              <w:suppressLineNumbers/>
              <w:bidi w:val="0"/>
              <w:spacing w:before="0" w:after="40"/>
              <w:ind w:hanging="0" w:start="43" w:end="43"/>
              <w:rPr/>
            </w:pPr>
            <w:r>
              <w:rPr>
                <w:sz w:val="19"/>
              </w:rPr>
              <w:t>Cláusula 8.1: Planejamento e controle operacional</w:t>
            </w:r>
          </w:p>
        </w:tc>
        <w:tc>
          <w:tcPr>
            <w:tcW w:w="3404" w:type="dxa"/>
            <w:tcBorders/>
            <w:vAlign w:val="center"/>
          </w:tcPr>
          <w:p>
            <w:pPr>
              <w:pStyle w:val="TableContents"/>
              <w:bidi w:val="0"/>
              <w:spacing w:before="0" w:after="40"/>
              <w:jc w:val="end"/>
              <w:rPr/>
            </w:pPr>
            <w:r>
              <w:rPr>
                <w:sz w:val="19"/>
              </w:rPr>
              <w:t>21</w:t>
            </w:r>
          </w:p>
        </w:tc>
      </w:tr>
      <w:tr>
        <w:trPr>
          <w:cantSplit/>
        </w:trPr>
        <w:tc>
          <w:tcPr>
            <w:tcW w:w="3403" w:type="dxa"/>
            <w:tcBorders/>
            <w:vAlign w:val="center"/>
          </w:tcPr>
          <w:p>
            <w:pPr>
              <w:pStyle w:val="TableContents"/>
              <w:bidi w:val="0"/>
              <w:spacing w:before="0" w:after="40"/>
              <w:jc w:val="end"/>
              <w:rPr/>
            </w:pPr>
            <w:r>
              <w:rPr>
                <w:sz w:val="19"/>
              </w:rPr>
              <w:t>15</w:t>
            </w:r>
          </w:p>
        </w:tc>
        <w:tc>
          <w:tcPr>
            <w:tcW w:w="2553" w:type="dxa"/>
            <w:tcBorders/>
            <w:vAlign w:val="center"/>
          </w:tcPr>
          <w:p>
            <w:pPr>
              <w:pStyle w:val="TableContents"/>
              <w:suppressLineNumbers/>
              <w:bidi w:val="0"/>
              <w:spacing w:before="0" w:after="40"/>
              <w:ind w:hanging="0" w:start="43" w:end="43"/>
              <w:rPr/>
            </w:pPr>
            <w:r>
              <w:rPr>
                <w:sz w:val="19"/>
              </w:rPr>
              <w:t>Cláusulas 8.2–8.4: Risco operacional, tratamento e avaliação de impacto</w:t>
            </w:r>
          </w:p>
        </w:tc>
        <w:tc>
          <w:tcPr>
            <w:tcW w:w="3404" w:type="dxa"/>
            <w:tcBorders/>
            <w:vAlign w:val="center"/>
          </w:tcPr>
          <w:p>
            <w:pPr>
              <w:pStyle w:val="TableContents"/>
              <w:bidi w:val="0"/>
              <w:spacing w:before="0" w:after="40"/>
              <w:jc w:val="end"/>
              <w:rPr/>
            </w:pPr>
            <w:r>
              <w:rPr>
                <w:sz w:val="19"/>
              </w:rPr>
              <w:t>22</w:t>
            </w:r>
          </w:p>
        </w:tc>
      </w:tr>
      <w:tr>
        <w:trPr>
          <w:cantSplit/>
        </w:trPr>
        <w:tc>
          <w:tcPr>
            <w:tcW w:w="3403" w:type="dxa"/>
            <w:tcBorders/>
            <w:vAlign w:val="center"/>
          </w:tcPr>
          <w:p>
            <w:pPr>
              <w:pStyle w:val="TableContents"/>
              <w:bidi w:val="0"/>
              <w:spacing w:before="0" w:after="40"/>
              <w:jc w:val="end"/>
              <w:rPr/>
            </w:pPr>
            <w:r>
              <w:rPr>
                <w:sz w:val="19"/>
              </w:rPr>
              <w:t>16</w:t>
            </w:r>
          </w:p>
        </w:tc>
        <w:tc>
          <w:tcPr>
            <w:tcW w:w="2553" w:type="dxa"/>
            <w:tcBorders/>
            <w:vAlign w:val="center"/>
          </w:tcPr>
          <w:p>
            <w:pPr>
              <w:pStyle w:val="TableContents"/>
              <w:suppressLineNumbers/>
              <w:bidi w:val="0"/>
              <w:spacing w:before="0" w:after="40"/>
              <w:ind w:hanging="0" w:start="43" w:end="43"/>
              <w:rPr/>
            </w:pPr>
            <w:r>
              <w:rPr>
                <w:sz w:val="19"/>
              </w:rPr>
              <w:t>Cláusula 9.1: Monitoramento, medição, análise e avaliação</w:t>
            </w:r>
          </w:p>
        </w:tc>
        <w:tc>
          <w:tcPr>
            <w:tcW w:w="3404" w:type="dxa"/>
            <w:tcBorders/>
            <w:vAlign w:val="center"/>
          </w:tcPr>
          <w:p>
            <w:pPr>
              <w:pStyle w:val="TableContents"/>
              <w:bidi w:val="0"/>
              <w:spacing w:before="0" w:after="40"/>
              <w:jc w:val="end"/>
              <w:rPr/>
            </w:pPr>
            <w:r>
              <w:rPr>
                <w:sz w:val="19"/>
              </w:rPr>
              <w:t>23</w:t>
            </w:r>
          </w:p>
        </w:tc>
      </w:tr>
      <w:tr>
        <w:trPr>
          <w:cantSplit/>
        </w:trPr>
        <w:tc>
          <w:tcPr>
            <w:tcW w:w="3403" w:type="dxa"/>
            <w:tcBorders/>
            <w:vAlign w:val="center"/>
          </w:tcPr>
          <w:p>
            <w:pPr>
              <w:pStyle w:val="TableContents"/>
              <w:bidi w:val="0"/>
              <w:spacing w:before="0" w:after="40"/>
              <w:jc w:val="end"/>
              <w:rPr/>
            </w:pPr>
            <w:r>
              <w:rPr>
                <w:sz w:val="19"/>
              </w:rPr>
              <w:t>17</w:t>
            </w:r>
          </w:p>
        </w:tc>
        <w:tc>
          <w:tcPr>
            <w:tcW w:w="2553" w:type="dxa"/>
            <w:tcBorders/>
            <w:vAlign w:val="center"/>
          </w:tcPr>
          <w:p>
            <w:pPr>
              <w:pStyle w:val="TableContents"/>
              <w:suppressLineNumbers/>
              <w:bidi w:val="0"/>
              <w:spacing w:before="0" w:after="40"/>
              <w:ind w:hanging="0" w:start="43" w:end="43"/>
              <w:rPr/>
            </w:pPr>
            <w:r>
              <w:rPr>
                <w:sz w:val="19"/>
              </w:rPr>
              <w:t>Cláusula 9.2: Auditoria interna</w:t>
            </w:r>
          </w:p>
        </w:tc>
        <w:tc>
          <w:tcPr>
            <w:tcW w:w="3404" w:type="dxa"/>
            <w:tcBorders/>
            <w:vAlign w:val="center"/>
          </w:tcPr>
          <w:p>
            <w:pPr>
              <w:pStyle w:val="TableContents"/>
              <w:bidi w:val="0"/>
              <w:spacing w:before="0" w:after="40"/>
              <w:jc w:val="end"/>
              <w:rPr/>
            </w:pPr>
            <w:r>
              <w:rPr>
                <w:sz w:val="19"/>
              </w:rPr>
              <w:t>24</w:t>
            </w:r>
          </w:p>
        </w:tc>
      </w:tr>
      <w:tr>
        <w:trPr>
          <w:cantSplit/>
        </w:trPr>
        <w:tc>
          <w:tcPr>
            <w:tcW w:w="3403" w:type="dxa"/>
            <w:tcBorders/>
            <w:vAlign w:val="center"/>
          </w:tcPr>
          <w:p>
            <w:pPr>
              <w:pStyle w:val="TableContents"/>
              <w:bidi w:val="0"/>
              <w:spacing w:before="0" w:after="40"/>
              <w:jc w:val="end"/>
              <w:rPr/>
            </w:pPr>
            <w:r>
              <w:rPr>
                <w:sz w:val="19"/>
              </w:rPr>
              <w:t>18</w:t>
            </w:r>
          </w:p>
        </w:tc>
        <w:tc>
          <w:tcPr>
            <w:tcW w:w="2553" w:type="dxa"/>
            <w:tcBorders/>
            <w:vAlign w:val="center"/>
          </w:tcPr>
          <w:p>
            <w:pPr>
              <w:pStyle w:val="TableContents"/>
              <w:suppressLineNumbers/>
              <w:bidi w:val="0"/>
              <w:spacing w:before="0" w:after="40"/>
              <w:ind w:hanging="0" w:start="43" w:end="43"/>
              <w:rPr/>
            </w:pPr>
            <w:r>
              <w:rPr>
                <w:sz w:val="19"/>
              </w:rPr>
              <w:t>Cláusula 9.3: Análise crítica pela direção</w:t>
            </w:r>
          </w:p>
        </w:tc>
        <w:tc>
          <w:tcPr>
            <w:tcW w:w="3404" w:type="dxa"/>
            <w:tcBorders/>
            <w:vAlign w:val="center"/>
          </w:tcPr>
          <w:p>
            <w:pPr>
              <w:pStyle w:val="TableContents"/>
              <w:bidi w:val="0"/>
              <w:spacing w:before="0" w:after="40"/>
              <w:jc w:val="end"/>
              <w:rPr/>
            </w:pPr>
            <w:r>
              <w:rPr>
                <w:sz w:val="19"/>
              </w:rPr>
              <w:t>26</w:t>
            </w:r>
          </w:p>
        </w:tc>
      </w:tr>
      <w:tr>
        <w:trPr>
          <w:cantSplit/>
        </w:trPr>
        <w:tc>
          <w:tcPr>
            <w:tcW w:w="3403" w:type="dxa"/>
            <w:tcBorders/>
            <w:vAlign w:val="center"/>
          </w:tcPr>
          <w:p>
            <w:pPr>
              <w:pStyle w:val="TableContents"/>
              <w:bidi w:val="0"/>
              <w:spacing w:before="0" w:after="40"/>
              <w:jc w:val="end"/>
              <w:rPr/>
            </w:pPr>
            <w:r>
              <w:rPr>
                <w:sz w:val="19"/>
              </w:rPr>
              <w:t>19</w:t>
            </w:r>
          </w:p>
        </w:tc>
        <w:tc>
          <w:tcPr>
            <w:tcW w:w="2553" w:type="dxa"/>
            <w:tcBorders/>
            <w:vAlign w:val="center"/>
          </w:tcPr>
          <w:p>
            <w:pPr>
              <w:pStyle w:val="TableContents"/>
              <w:suppressLineNumbers/>
              <w:bidi w:val="0"/>
              <w:spacing w:before="0" w:after="40"/>
              <w:ind w:hanging="0" w:start="43" w:end="43"/>
              <w:rPr/>
            </w:pPr>
            <w:r>
              <w:rPr>
                <w:sz w:val="19"/>
              </w:rPr>
              <w:t>Cláusula 10: Não conformidade, ação corretiva e melhoria contínua</w:t>
            </w:r>
          </w:p>
        </w:tc>
        <w:tc>
          <w:tcPr>
            <w:tcW w:w="3404" w:type="dxa"/>
            <w:tcBorders/>
            <w:vAlign w:val="center"/>
          </w:tcPr>
          <w:p>
            <w:pPr>
              <w:pStyle w:val="TableContents"/>
              <w:bidi w:val="0"/>
              <w:spacing w:before="0" w:after="40"/>
              <w:jc w:val="end"/>
              <w:rPr/>
            </w:pPr>
            <w:r>
              <w:rPr>
                <w:sz w:val="19"/>
              </w:rPr>
              <w:t>27</w:t>
            </w:r>
          </w:p>
        </w:tc>
      </w:tr>
      <w:tr>
        <w:trPr>
          <w:cantSplit/>
        </w:trPr>
        <w:tc>
          <w:tcPr>
            <w:tcW w:w="3403" w:type="dxa"/>
            <w:tcBorders/>
            <w:vAlign w:val="center"/>
          </w:tcPr>
          <w:p>
            <w:pPr>
              <w:pStyle w:val="TableContents"/>
              <w:bidi w:val="0"/>
              <w:spacing w:before="0" w:after="40"/>
              <w:jc w:val="end"/>
              <w:rPr/>
            </w:pPr>
            <w:r>
              <w:rPr>
                <w:sz w:val="19"/>
              </w:rPr>
              <w:t>20</w:t>
            </w:r>
          </w:p>
        </w:tc>
        <w:tc>
          <w:tcPr>
            <w:tcW w:w="2553" w:type="dxa"/>
            <w:tcBorders/>
            <w:vAlign w:val="center"/>
          </w:tcPr>
          <w:p>
            <w:pPr>
              <w:pStyle w:val="TableContents"/>
              <w:suppressLineNumbers/>
              <w:bidi w:val="0"/>
              <w:spacing w:before="0" w:after="40"/>
              <w:ind w:hanging="0" w:start="43" w:end="43"/>
              <w:rPr/>
            </w:pPr>
            <w:r>
              <w:rPr>
                <w:sz w:val="19"/>
              </w:rPr>
              <w:t>Anexos A–D e a Declaração de Aplicabilidade</w:t>
            </w:r>
          </w:p>
        </w:tc>
        <w:tc>
          <w:tcPr>
            <w:tcW w:w="3404" w:type="dxa"/>
            <w:tcBorders/>
            <w:vAlign w:val="center"/>
          </w:tcPr>
          <w:p>
            <w:pPr>
              <w:pStyle w:val="TableContents"/>
              <w:bidi w:val="0"/>
              <w:spacing w:before="0" w:after="40"/>
              <w:jc w:val="end"/>
              <w:rPr/>
            </w:pPr>
            <w:r>
              <w:rPr>
                <w:sz w:val="19"/>
              </w:rPr>
              <w:t>28</w:t>
            </w:r>
          </w:p>
        </w:tc>
      </w:tr>
      <w:tr>
        <w:trPr>
          <w:cantSplit/>
        </w:trPr>
        <w:tc>
          <w:tcPr>
            <w:tcW w:w="3403" w:type="dxa"/>
            <w:tcBorders/>
            <w:vAlign w:val="center"/>
          </w:tcPr>
          <w:p>
            <w:pPr>
              <w:pStyle w:val="TableContents"/>
              <w:bidi w:val="0"/>
              <w:spacing w:before="0" w:after="40"/>
              <w:jc w:val="end"/>
              <w:rPr/>
            </w:pPr>
            <w:r>
              <w:rPr>
                <w:sz w:val="19"/>
              </w:rPr>
              <w:t>21</w:t>
            </w:r>
          </w:p>
        </w:tc>
        <w:tc>
          <w:tcPr>
            <w:tcW w:w="2553" w:type="dxa"/>
            <w:tcBorders/>
            <w:vAlign w:val="center"/>
          </w:tcPr>
          <w:p>
            <w:pPr>
              <w:pStyle w:val="TableContents"/>
              <w:suppressLineNumbers/>
              <w:bidi w:val="0"/>
              <w:spacing w:before="0" w:after="40"/>
              <w:ind w:hanging="0" w:start="43" w:end="43"/>
              <w:rPr/>
            </w:pPr>
            <w:r>
              <w:rPr>
                <w:sz w:val="19"/>
              </w:rPr>
              <w:t>Anexo A.2: Políticas relacionadas à IA</w:t>
            </w:r>
          </w:p>
        </w:tc>
        <w:tc>
          <w:tcPr>
            <w:tcW w:w="3404" w:type="dxa"/>
            <w:tcBorders/>
            <w:vAlign w:val="center"/>
          </w:tcPr>
          <w:p>
            <w:pPr>
              <w:pStyle w:val="TableContents"/>
              <w:bidi w:val="0"/>
              <w:spacing w:before="0" w:after="40"/>
              <w:jc w:val="end"/>
              <w:rPr/>
            </w:pPr>
            <w:r>
              <w:rPr>
                <w:sz w:val="19"/>
              </w:rPr>
              <w:t>29</w:t>
            </w:r>
          </w:p>
        </w:tc>
      </w:tr>
      <w:tr>
        <w:trPr>
          <w:cantSplit/>
        </w:trPr>
        <w:tc>
          <w:tcPr>
            <w:tcW w:w="3403" w:type="dxa"/>
            <w:tcBorders/>
            <w:vAlign w:val="center"/>
          </w:tcPr>
          <w:p>
            <w:pPr>
              <w:pStyle w:val="TableContents"/>
              <w:bidi w:val="0"/>
              <w:spacing w:before="0" w:after="40"/>
              <w:jc w:val="end"/>
              <w:rPr/>
            </w:pPr>
            <w:r>
              <w:rPr>
                <w:sz w:val="19"/>
              </w:rPr>
              <w:t>22</w:t>
            </w:r>
          </w:p>
        </w:tc>
        <w:tc>
          <w:tcPr>
            <w:tcW w:w="2553" w:type="dxa"/>
            <w:tcBorders/>
            <w:vAlign w:val="center"/>
          </w:tcPr>
          <w:p>
            <w:pPr>
              <w:pStyle w:val="TableContents"/>
              <w:suppressLineNumbers/>
              <w:bidi w:val="0"/>
              <w:spacing w:before="0" w:after="40"/>
              <w:ind w:hanging="0" w:start="43" w:end="43"/>
              <w:rPr/>
            </w:pPr>
            <w:r>
              <w:rPr>
                <w:sz w:val="19"/>
              </w:rPr>
              <w:t>Anexo A.3: Organização interna</w:t>
            </w:r>
          </w:p>
        </w:tc>
        <w:tc>
          <w:tcPr>
            <w:tcW w:w="3404" w:type="dxa"/>
            <w:tcBorders/>
            <w:vAlign w:val="center"/>
          </w:tcPr>
          <w:p>
            <w:pPr>
              <w:pStyle w:val="TableContents"/>
              <w:bidi w:val="0"/>
              <w:spacing w:before="0" w:after="40"/>
              <w:jc w:val="end"/>
              <w:rPr/>
            </w:pPr>
            <w:r>
              <w:rPr>
                <w:sz w:val="19"/>
              </w:rPr>
              <w:t>30</w:t>
            </w:r>
          </w:p>
        </w:tc>
      </w:tr>
      <w:tr>
        <w:trPr>
          <w:cantSplit/>
        </w:trPr>
        <w:tc>
          <w:tcPr>
            <w:tcW w:w="3403" w:type="dxa"/>
            <w:tcBorders/>
            <w:vAlign w:val="center"/>
          </w:tcPr>
          <w:p>
            <w:pPr>
              <w:pStyle w:val="TableContents"/>
              <w:bidi w:val="0"/>
              <w:spacing w:before="0" w:after="40"/>
              <w:jc w:val="end"/>
              <w:rPr/>
            </w:pPr>
            <w:r>
              <w:rPr>
                <w:sz w:val="19"/>
              </w:rPr>
              <w:t>23</w:t>
            </w:r>
          </w:p>
        </w:tc>
        <w:tc>
          <w:tcPr>
            <w:tcW w:w="2553" w:type="dxa"/>
            <w:tcBorders/>
            <w:vAlign w:val="center"/>
          </w:tcPr>
          <w:p>
            <w:pPr>
              <w:pStyle w:val="TableContents"/>
              <w:suppressLineNumbers/>
              <w:bidi w:val="0"/>
              <w:spacing w:before="0" w:after="40"/>
              <w:ind w:hanging="0" w:start="43" w:end="43"/>
              <w:rPr/>
            </w:pPr>
            <w:r>
              <w:rPr>
                <w:sz w:val="19"/>
              </w:rPr>
              <w:t>Anexo A.4: Recursos para sistemas de IA</w:t>
            </w:r>
          </w:p>
        </w:tc>
        <w:tc>
          <w:tcPr>
            <w:tcW w:w="3404" w:type="dxa"/>
            <w:tcBorders/>
            <w:vAlign w:val="center"/>
          </w:tcPr>
          <w:p>
            <w:pPr>
              <w:pStyle w:val="TableContents"/>
              <w:bidi w:val="0"/>
              <w:spacing w:before="0" w:after="40"/>
              <w:jc w:val="end"/>
              <w:rPr/>
            </w:pPr>
            <w:r>
              <w:rPr>
                <w:sz w:val="19"/>
              </w:rPr>
              <w:t>31</w:t>
            </w:r>
          </w:p>
        </w:tc>
      </w:tr>
      <w:tr>
        <w:trPr>
          <w:cantSplit/>
        </w:trPr>
        <w:tc>
          <w:tcPr>
            <w:tcW w:w="3403" w:type="dxa"/>
            <w:tcBorders/>
            <w:vAlign w:val="center"/>
          </w:tcPr>
          <w:p>
            <w:pPr>
              <w:pStyle w:val="TableContents"/>
              <w:bidi w:val="0"/>
              <w:spacing w:before="0" w:after="40"/>
              <w:jc w:val="end"/>
              <w:rPr/>
            </w:pPr>
            <w:r>
              <w:rPr>
                <w:sz w:val="19"/>
              </w:rPr>
              <w:t>24</w:t>
            </w:r>
          </w:p>
        </w:tc>
        <w:tc>
          <w:tcPr>
            <w:tcW w:w="2553" w:type="dxa"/>
            <w:tcBorders/>
            <w:vAlign w:val="center"/>
          </w:tcPr>
          <w:p>
            <w:pPr>
              <w:pStyle w:val="TableContents"/>
              <w:suppressLineNumbers/>
              <w:bidi w:val="0"/>
              <w:spacing w:before="0" w:after="40"/>
              <w:ind w:hanging="0" w:start="43" w:end="43"/>
              <w:rPr/>
            </w:pPr>
            <w:r>
              <w:rPr>
                <w:sz w:val="19"/>
              </w:rPr>
              <w:t>Anexo A.5 e ISO/IEC 42005: Avaliação de impacto de sistemas de IA</w:t>
            </w:r>
          </w:p>
        </w:tc>
        <w:tc>
          <w:tcPr>
            <w:tcW w:w="3404" w:type="dxa"/>
            <w:tcBorders/>
            <w:vAlign w:val="center"/>
          </w:tcPr>
          <w:p>
            <w:pPr>
              <w:pStyle w:val="TableContents"/>
              <w:bidi w:val="0"/>
              <w:spacing w:before="0" w:after="40"/>
              <w:jc w:val="end"/>
              <w:rPr/>
            </w:pPr>
            <w:r>
              <w:rPr>
                <w:sz w:val="19"/>
              </w:rPr>
              <w:t>32</w:t>
            </w:r>
          </w:p>
        </w:tc>
      </w:tr>
      <w:tr>
        <w:trPr>
          <w:cantSplit/>
        </w:trPr>
        <w:tc>
          <w:tcPr>
            <w:tcW w:w="3403" w:type="dxa"/>
            <w:tcBorders/>
            <w:vAlign w:val="center"/>
          </w:tcPr>
          <w:p>
            <w:pPr>
              <w:pStyle w:val="TableContents"/>
              <w:bidi w:val="0"/>
              <w:spacing w:before="0" w:after="40"/>
              <w:jc w:val="end"/>
              <w:rPr/>
            </w:pPr>
            <w:r>
              <w:rPr>
                <w:sz w:val="19"/>
              </w:rPr>
              <w:t>25</w:t>
            </w:r>
          </w:p>
        </w:tc>
        <w:tc>
          <w:tcPr>
            <w:tcW w:w="2553" w:type="dxa"/>
            <w:tcBorders/>
            <w:vAlign w:val="center"/>
          </w:tcPr>
          <w:p>
            <w:pPr>
              <w:pStyle w:val="TableContents"/>
              <w:suppressLineNumbers/>
              <w:bidi w:val="0"/>
              <w:spacing w:before="0" w:after="40"/>
              <w:ind w:hanging="0" w:start="43" w:end="43"/>
              <w:rPr/>
            </w:pPr>
            <w:r>
              <w:rPr>
                <w:sz w:val="19"/>
              </w:rPr>
              <w:t>Anexo A.6: Ciclo de vida do sistema de IA</w:t>
            </w:r>
          </w:p>
        </w:tc>
        <w:tc>
          <w:tcPr>
            <w:tcW w:w="3404" w:type="dxa"/>
            <w:tcBorders/>
            <w:vAlign w:val="center"/>
          </w:tcPr>
          <w:p>
            <w:pPr>
              <w:pStyle w:val="TableContents"/>
              <w:bidi w:val="0"/>
              <w:spacing w:before="0" w:after="40"/>
              <w:jc w:val="end"/>
              <w:rPr/>
            </w:pPr>
            <w:r>
              <w:rPr>
                <w:sz w:val="19"/>
              </w:rPr>
              <w:t>33</w:t>
            </w:r>
          </w:p>
        </w:tc>
      </w:tr>
      <w:tr>
        <w:trPr>
          <w:cantSplit/>
        </w:trPr>
        <w:tc>
          <w:tcPr>
            <w:tcW w:w="3403" w:type="dxa"/>
            <w:tcBorders/>
            <w:vAlign w:val="center"/>
          </w:tcPr>
          <w:p>
            <w:pPr>
              <w:pStyle w:val="TableContents"/>
              <w:bidi w:val="0"/>
              <w:spacing w:before="0" w:after="40"/>
              <w:jc w:val="end"/>
              <w:rPr/>
            </w:pPr>
            <w:r>
              <w:rPr>
                <w:sz w:val="19"/>
              </w:rPr>
              <w:t>26</w:t>
            </w:r>
          </w:p>
        </w:tc>
        <w:tc>
          <w:tcPr>
            <w:tcW w:w="2553" w:type="dxa"/>
            <w:tcBorders/>
            <w:vAlign w:val="center"/>
          </w:tcPr>
          <w:p>
            <w:pPr>
              <w:pStyle w:val="TableContents"/>
              <w:suppressLineNumbers/>
              <w:bidi w:val="0"/>
              <w:spacing w:before="0" w:after="40"/>
              <w:ind w:hanging="0" w:start="43" w:end="43"/>
              <w:rPr/>
            </w:pPr>
            <w:r>
              <w:rPr>
                <w:sz w:val="19"/>
              </w:rPr>
              <w:t>Anexo A.7: Dados para sistemas de IA</w:t>
            </w:r>
          </w:p>
        </w:tc>
        <w:tc>
          <w:tcPr>
            <w:tcW w:w="3404" w:type="dxa"/>
            <w:tcBorders/>
            <w:vAlign w:val="center"/>
          </w:tcPr>
          <w:p>
            <w:pPr>
              <w:pStyle w:val="TableContents"/>
              <w:bidi w:val="0"/>
              <w:spacing w:before="0" w:after="40"/>
              <w:jc w:val="end"/>
              <w:rPr/>
            </w:pPr>
            <w:r>
              <w:rPr>
                <w:sz w:val="19"/>
              </w:rPr>
              <w:t>34</w:t>
            </w:r>
          </w:p>
        </w:tc>
      </w:tr>
      <w:tr>
        <w:trPr>
          <w:cantSplit/>
        </w:trPr>
        <w:tc>
          <w:tcPr>
            <w:tcW w:w="3403" w:type="dxa"/>
            <w:tcBorders/>
            <w:vAlign w:val="center"/>
          </w:tcPr>
          <w:p>
            <w:pPr>
              <w:pStyle w:val="TableContents"/>
              <w:bidi w:val="0"/>
              <w:spacing w:before="0" w:after="40"/>
              <w:jc w:val="end"/>
              <w:rPr/>
            </w:pPr>
            <w:r>
              <w:rPr>
                <w:sz w:val="19"/>
              </w:rPr>
              <w:t>27</w:t>
            </w:r>
          </w:p>
        </w:tc>
        <w:tc>
          <w:tcPr>
            <w:tcW w:w="2553" w:type="dxa"/>
            <w:tcBorders/>
            <w:vAlign w:val="center"/>
          </w:tcPr>
          <w:p>
            <w:pPr>
              <w:pStyle w:val="TableContents"/>
              <w:suppressLineNumbers/>
              <w:bidi w:val="0"/>
              <w:spacing w:before="0" w:after="40"/>
              <w:ind w:hanging="0" w:start="43" w:end="43"/>
              <w:rPr/>
            </w:pPr>
            <w:r>
              <w:rPr>
                <w:sz w:val="19"/>
              </w:rPr>
              <w:t>Anexo A.8: Informação para partes interessadas</w:t>
            </w:r>
          </w:p>
        </w:tc>
        <w:tc>
          <w:tcPr>
            <w:tcW w:w="3404" w:type="dxa"/>
            <w:tcBorders/>
            <w:vAlign w:val="center"/>
          </w:tcPr>
          <w:p>
            <w:pPr>
              <w:pStyle w:val="TableContents"/>
              <w:bidi w:val="0"/>
              <w:spacing w:before="0" w:after="40"/>
              <w:jc w:val="end"/>
              <w:rPr/>
            </w:pPr>
            <w:r>
              <w:rPr>
                <w:sz w:val="19"/>
              </w:rPr>
              <w:t>36</w:t>
            </w:r>
          </w:p>
        </w:tc>
      </w:tr>
      <w:tr>
        <w:trPr>
          <w:cantSplit/>
        </w:trPr>
        <w:tc>
          <w:tcPr>
            <w:tcW w:w="3403" w:type="dxa"/>
            <w:tcBorders/>
            <w:vAlign w:val="center"/>
          </w:tcPr>
          <w:p>
            <w:pPr>
              <w:pStyle w:val="TableContents"/>
              <w:bidi w:val="0"/>
              <w:spacing w:before="0" w:after="40"/>
              <w:jc w:val="end"/>
              <w:rPr/>
            </w:pPr>
            <w:r>
              <w:rPr>
                <w:sz w:val="19"/>
              </w:rPr>
              <w:t>28</w:t>
            </w:r>
          </w:p>
        </w:tc>
        <w:tc>
          <w:tcPr>
            <w:tcW w:w="2553" w:type="dxa"/>
            <w:tcBorders/>
            <w:vAlign w:val="center"/>
          </w:tcPr>
          <w:p>
            <w:pPr>
              <w:pStyle w:val="TableContents"/>
              <w:suppressLineNumbers/>
              <w:bidi w:val="0"/>
              <w:spacing w:before="0" w:after="40"/>
              <w:ind w:hanging="0" w:start="43" w:end="43"/>
              <w:rPr/>
            </w:pPr>
            <w:r>
              <w:rPr>
                <w:sz w:val="19"/>
              </w:rPr>
              <w:t>Anexos A.9 e A.10: Uso responsável, fornecedores e clientes</w:t>
            </w:r>
          </w:p>
        </w:tc>
        <w:tc>
          <w:tcPr>
            <w:tcW w:w="3404" w:type="dxa"/>
            <w:tcBorders/>
            <w:vAlign w:val="center"/>
          </w:tcPr>
          <w:p>
            <w:pPr>
              <w:pStyle w:val="TableContents"/>
              <w:bidi w:val="0"/>
              <w:spacing w:before="0" w:after="40"/>
              <w:jc w:val="end"/>
              <w:rPr/>
            </w:pPr>
            <w:r>
              <w:rPr>
                <w:sz w:val="19"/>
              </w:rPr>
              <w:t>38</w:t>
            </w:r>
          </w:p>
        </w:tc>
      </w:tr>
      <w:tr>
        <w:trPr>
          <w:cantSplit/>
        </w:trPr>
        <w:tc>
          <w:tcPr>
            <w:tcW w:w="3403" w:type="dxa"/>
            <w:tcBorders/>
            <w:vAlign w:val="center"/>
          </w:tcPr>
          <w:p>
            <w:pPr>
              <w:pStyle w:val="TableContents"/>
              <w:bidi w:val="0"/>
              <w:spacing w:before="0" w:after="40"/>
              <w:jc w:val="end"/>
              <w:rPr/>
            </w:pPr>
            <w:r>
              <w:rPr>
                <w:sz w:val="19"/>
              </w:rPr>
              <w:t>29</w:t>
            </w:r>
          </w:p>
        </w:tc>
        <w:tc>
          <w:tcPr>
            <w:tcW w:w="2553" w:type="dxa"/>
            <w:tcBorders/>
            <w:vAlign w:val="center"/>
          </w:tcPr>
          <w:p>
            <w:pPr>
              <w:pStyle w:val="TableContents"/>
              <w:suppressLineNumbers/>
              <w:bidi w:val="0"/>
              <w:spacing w:before="0" w:after="40"/>
              <w:ind w:hanging="0" w:start="43" w:end="43"/>
              <w:rPr/>
            </w:pPr>
            <w:r>
              <w:rPr>
                <w:sz w:val="19"/>
              </w:rPr>
              <w:t>Certificação, ISO/IEC 42006:2025 e prontidão para auditoria</w:t>
            </w:r>
          </w:p>
        </w:tc>
        <w:tc>
          <w:tcPr>
            <w:tcW w:w="3404" w:type="dxa"/>
            <w:tcBorders/>
            <w:vAlign w:val="center"/>
          </w:tcPr>
          <w:p>
            <w:pPr>
              <w:pStyle w:val="TableContents"/>
              <w:bidi w:val="0"/>
              <w:spacing w:before="0" w:after="40"/>
              <w:jc w:val="end"/>
              <w:rPr/>
            </w:pPr>
            <w:r>
              <w:rPr>
                <w:sz w:val="19"/>
              </w:rPr>
              <w:t>40</w:t>
            </w:r>
          </w:p>
        </w:tc>
      </w:tr>
      <w:tr>
        <w:trPr>
          <w:cantSplit/>
        </w:trPr>
        <w:tc>
          <w:tcPr>
            <w:tcW w:w="3403" w:type="dxa"/>
            <w:tcBorders/>
            <w:vAlign w:val="center"/>
          </w:tcPr>
          <w:p>
            <w:pPr>
              <w:pStyle w:val="TableContents"/>
              <w:bidi w:val="0"/>
              <w:spacing w:before="0" w:after="40"/>
              <w:jc w:val="end"/>
              <w:rPr/>
            </w:pPr>
            <w:r>
              <w:rPr>
                <w:sz w:val="19"/>
              </w:rPr>
              <w:t>30</w:t>
            </w:r>
          </w:p>
        </w:tc>
        <w:tc>
          <w:tcPr>
            <w:tcW w:w="2553" w:type="dxa"/>
            <w:tcBorders/>
            <w:vAlign w:val="center"/>
          </w:tcPr>
          <w:p>
            <w:pPr>
              <w:pStyle w:val="TableContents"/>
              <w:suppressLineNumbers/>
              <w:bidi w:val="0"/>
              <w:spacing w:before="0" w:after="40"/>
              <w:ind w:hanging="0" w:start="43" w:end="43"/>
              <w:rPr/>
            </w:pPr>
            <w:r>
              <w:rPr>
                <w:sz w:val="19"/>
              </w:rPr>
              <w:t>Ferramentas de código aberto para evidências do SGIA e asseguração de IA</w:t>
            </w:r>
          </w:p>
        </w:tc>
        <w:tc>
          <w:tcPr>
            <w:tcW w:w="3404" w:type="dxa"/>
            <w:tcBorders/>
            <w:vAlign w:val="center"/>
          </w:tcPr>
          <w:p>
            <w:pPr>
              <w:pStyle w:val="TableContents"/>
              <w:bidi w:val="0"/>
              <w:spacing w:before="0" w:after="40"/>
              <w:jc w:val="end"/>
              <w:rPr/>
            </w:pPr>
            <w:r>
              <w:rPr>
                <w:sz w:val="19"/>
              </w:rPr>
              <w:t>42</w:t>
            </w:r>
          </w:p>
        </w:tc>
      </w:tr>
      <w:tr>
        <w:trPr>
          <w:cantSplit/>
        </w:trPr>
        <w:tc>
          <w:tcPr>
            <w:tcW w:w="3403" w:type="dxa"/>
            <w:tcBorders/>
            <w:vAlign w:val="center"/>
          </w:tcPr>
          <w:p>
            <w:pPr>
              <w:pStyle w:val="TableContents"/>
              <w:bidi w:val="0"/>
              <w:spacing w:before="0" w:after="40"/>
              <w:jc w:val="end"/>
              <w:rPr/>
            </w:pPr>
            <w:r>
              <w:rPr>
                <w:sz w:val="19"/>
              </w:rPr>
              <w:t>31</w:t>
            </w:r>
          </w:p>
        </w:tc>
        <w:tc>
          <w:tcPr>
            <w:tcW w:w="2553" w:type="dxa"/>
            <w:tcBorders/>
            <w:vAlign w:val="center"/>
          </w:tcPr>
          <w:p>
            <w:pPr>
              <w:pStyle w:val="TableContents"/>
              <w:suppressLineNumbers/>
              <w:bidi w:val="0"/>
              <w:spacing w:before="0" w:after="40"/>
              <w:ind w:hanging="0" w:start="43" w:end="43"/>
              <w:rPr/>
            </w:pPr>
            <w:r>
              <w:rPr>
                <w:sz w:val="19"/>
              </w:rPr>
              <w:t>Guia de gestores e analistas juniores, laboratório e entrevistas</w:t>
            </w:r>
          </w:p>
        </w:tc>
        <w:tc>
          <w:tcPr>
            <w:tcW w:w="3404" w:type="dxa"/>
            <w:tcBorders/>
            <w:vAlign w:val="center"/>
          </w:tcPr>
          <w:p>
            <w:pPr>
              <w:pStyle w:val="TableContents"/>
              <w:bidi w:val="0"/>
              <w:spacing w:before="0" w:after="40"/>
              <w:jc w:val="end"/>
              <w:rPr/>
            </w:pPr>
            <w:r>
              <w:rPr>
                <w:sz w:val="19"/>
              </w:rPr>
              <w:t>47</w:t>
            </w:r>
          </w:p>
        </w:tc>
      </w:tr>
      <w:tr>
        <w:trPr>
          <w:cantSplit/>
        </w:trPr>
        <w:tc>
          <w:tcPr>
            <w:tcW w:w="3403" w:type="dxa"/>
            <w:tcBorders/>
            <w:vAlign w:val="center"/>
          </w:tcPr>
          <w:p>
            <w:pPr>
              <w:pStyle w:val="TableContents"/>
              <w:bidi w:val="0"/>
              <w:spacing w:before="0" w:after="40"/>
              <w:jc w:val="end"/>
              <w:rPr/>
            </w:pPr>
            <w:r>
              <w:rPr>
                <w:sz w:val="19"/>
              </w:rPr>
              <w:t>32</w:t>
            </w:r>
          </w:p>
        </w:tc>
        <w:tc>
          <w:tcPr>
            <w:tcW w:w="2553" w:type="dxa"/>
            <w:tcBorders/>
            <w:vAlign w:val="center"/>
          </w:tcPr>
          <w:p>
            <w:pPr>
              <w:pStyle w:val="TableContents"/>
              <w:suppressLineNumbers/>
              <w:bidi w:val="0"/>
              <w:spacing w:before="0" w:after="40"/>
              <w:ind w:hanging="0" w:start="43" w:end="43"/>
              <w:rPr/>
            </w:pPr>
            <w:r>
              <w:rPr>
                <w:sz w:val="19"/>
              </w:rPr>
              <w:t>Modelos, glossário, índice e referências oficiais</w:t>
            </w:r>
          </w:p>
        </w:tc>
        <w:tc>
          <w:tcPr>
            <w:tcW w:w="3404" w:type="dxa"/>
            <w:tcBorders/>
            <w:vAlign w:val="center"/>
          </w:tcPr>
          <w:p>
            <w:pPr>
              <w:pStyle w:val="TableContents"/>
              <w:bidi w:val="0"/>
              <w:spacing w:before="0" w:after="40"/>
              <w:jc w:val="end"/>
              <w:rPr/>
            </w:pPr>
            <w:r>
              <w:rPr>
                <w:sz w:val="19"/>
              </w:rPr>
              <w:t>51</w:t>
            </w:r>
          </w:p>
        </w:tc>
      </w:tr>
    </w:tbl>
    <w:p>
      <w:pPr>
        <w:pStyle w:val="Heading1"/>
        <w:tabs>
          <w:tab w:val="clear" w:pos="709"/>
          <w:tab w:val="left" w:pos="0" w:leader="none"/>
        </w:tabs>
        <w:bidi w:val="0"/>
        <w:ind w:hanging="0" w:start="0"/>
        <w:jc w:val="left"/>
        <w:rPr/>
        <w:keepNext/>
      </w:pPr>
      <w:bookmarkStart w:id="4" w:name="isoiec-42001-e-o-sistema-de-gestão-de-in"/>
      <w:r>
        <w:rPr/>
        <w:t>1. ISO/IEC 42001 e o sistema de gestão de inteligência artificial</w:t>
      </w:r>
      <w:bookmarkEnd w:id="4"/>
    </w:p>
    <w:p>
      <w:pPr>
        <w:pStyle w:val="Firstparagraph"/>
        <w:bidi w:val="0"/>
        <w:rPr>
          <w:i/>
          <w:iCs/>
        </w:rPr>
      </w:pPr>
      <w:r>
        <w:rPr>
          <w:i/>
          <w:iCs/>
        </w:rPr>
        <w:t>A ISO/IEC 42001 especifica requisitos para que uma organização estabeleça, implemente, mantenha e melhore continuamente um sistema de gestão de inteligência artificial.</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Conceito</w:t>
            </w:r>
          </w:p>
        </w:tc>
        <w:tc>
          <w:tcPr>
            <w:tcW w:w="3120" w:type="dxa"/>
            <w:tcBorders/>
            <w:vAlign w:val="center"/>
            <w:shd w:fill="1F4E78"/>
          </w:tcPr>
          <w:p>
            <w:pPr>
              <w:pStyle w:val="TableHeading"/>
              <w:bidi w:val="0"/>
              <w:spacing w:before="0" w:after="40"/>
              <w:rPr>
                <w:b/>
                <w:bCs/>
              </w:rPr>
            </w:pPr>
            <w:r>
              <w:rPr>
                <w:b/>
                <w:bCs/>
                <w:sz w:val="19"/>
                <w:color w:val="FFFFFF"/>
              </w:rPr>
              <w:t>Significado simples</w:t>
            </w:r>
          </w:p>
        </w:tc>
        <w:tc>
          <w:tcPr>
            <w:tcW w:w="3120" w:type="dxa"/>
            <w:tcBorders/>
            <w:vAlign w:val="center"/>
            <w:shd w:fill="1F4E78"/>
          </w:tcPr>
          <w:p>
            <w:pPr>
              <w:pStyle w:val="TableHeading"/>
              <w:bidi w:val="0"/>
              <w:spacing w:before="0" w:after="40"/>
              <w:rPr>
                <w:b/>
                <w:bCs/>
              </w:rPr>
            </w:pPr>
            <w:r>
              <w:rPr>
                <w:b/>
                <w:bCs/>
                <w:sz w:val="19"/>
                <w:color w:val="FFFFFF"/>
              </w:rPr>
              <w:t>Pergunta de evidência</w:t>
            </w:r>
          </w:p>
        </w:tc>
      </w:tr>
      <w:tr>
        <w:trPr>
          <w:cantSplit/>
        </w:trPr>
        <w:tc>
          <w:tcPr>
            <w:tcW w:w="3120" w:type="dxa"/>
            <w:tcBorders/>
            <w:vAlign w:val="center"/>
          </w:tcPr>
          <w:p>
            <w:pPr>
              <w:pStyle w:val="TableContents"/>
              <w:suppressLineNumbers/>
              <w:bidi w:val="0"/>
              <w:spacing w:before="0" w:after="40"/>
              <w:ind w:hanging="0" w:start="43" w:end="43"/>
              <w:rPr/>
            </w:pPr>
            <w:r>
              <w:rPr>
                <w:sz w:val="19"/>
              </w:rPr>
              <w:t>SGIA</w:t>
            </w:r>
          </w:p>
        </w:tc>
        <w:tc>
          <w:tcPr>
            <w:tcW w:w="3120" w:type="dxa"/>
            <w:tcBorders/>
            <w:vAlign w:val="center"/>
          </w:tcPr>
          <w:p>
            <w:pPr>
              <w:pStyle w:val="TableContents"/>
              <w:suppressLineNumbers/>
              <w:bidi w:val="0"/>
              <w:spacing w:before="0" w:after="40"/>
              <w:ind w:hanging="0" w:start="43" w:end="43"/>
              <w:rPr/>
            </w:pPr>
            <w:r>
              <w:rPr>
                <w:sz w:val="19"/>
              </w:rPr>
              <w:t>Políticas, objetivos, processos, papéis, controles e registros inter-relacionados para IA responsável</w:t>
            </w:r>
          </w:p>
        </w:tc>
        <w:tc>
          <w:tcPr>
            <w:tcW w:w="3120" w:type="dxa"/>
            <w:tcBorders/>
            <w:vAlign w:val="center"/>
          </w:tcPr>
          <w:p>
            <w:pPr>
              <w:pStyle w:val="TableContents"/>
              <w:suppressLineNumbers/>
              <w:bidi w:val="0"/>
              <w:spacing w:before="0" w:after="40"/>
              <w:ind w:hanging="0" w:start="43" w:end="43"/>
              <w:rPr/>
            </w:pPr>
            <w:r>
              <w:rPr>
                <w:sz w:val="19"/>
              </w:rPr>
              <w:t>O sistema opera em todo o escopo definido?</w:t>
            </w:r>
          </w:p>
        </w:tc>
      </w:tr>
      <w:tr>
        <w:trPr>
          <w:cantSplit/>
        </w:trPr>
        <w:tc>
          <w:tcPr>
            <w:tcW w:w="3120" w:type="dxa"/>
            <w:tcBorders/>
            <w:vAlign w:val="center"/>
          </w:tcPr>
          <w:p>
            <w:pPr>
              <w:pStyle w:val="TableContents"/>
              <w:suppressLineNumbers/>
              <w:bidi w:val="0"/>
              <w:spacing w:before="0" w:after="40"/>
              <w:ind w:hanging="0" w:start="43" w:end="43"/>
              <w:rPr/>
            </w:pPr>
            <w:r>
              <w:rPr>
                <w:sz w:val="19"/>
              </w:rPr>
              <w:t>Papel da organização</w:t>
            </w:r>
          </w:p>
        </w:tc>
        <w:tc>
          <w:tcPr>
            <w:tcW w:w="3120" w:type="dxa"/>
            <w:tcBorders/>
            <w:vAlign w:val="center"/>
          </w:tcPr>
          <w:p>
            <w:pPr>
              <w:pStyle w:val="TableContents"/>
              <w:suppressLineNumbers/>
              <w:bidi w:val="0"/>
              <w:spacing w:before="0" w:after="40"/>
              <w:ind w:hanging="0" w:start="43" w:end="43"/>
              <w:rPr/>
            </w:pPr>
            <w:r>
              <w:rPr>
                <w:sz w:val="19"/>
              </w:rPr>
              <w:t>Desenvolvedor/fornecedor, implantador/usuário, fornecedor, cliente ou vários papéis</w:t>
            </w:r>
          </w:p>
        </w:tc>
        <w:tc>
          <w:tcPr>
            <w:tcW w:w="3120" w:type="dxa"/>
            <w:tcBorders/>
            <w:vAlign w:val="center"/>
          </w:tcPr>
          <w:p>
            <w:pPr>
              <w:pStyle w:val="TableContents"/>
              <w:suppressLineNumbers/>
              <w:bidi w:val="0"/>
              <w:spacing w:before="0" w:after="40"/>
              <w:ind w:hanging="0" w:start="43" w:end="43"/>
              <w:rPr/>
            </w:pPr>
            <w:r>
              <w:rPr>
                <w:sz w:val="19"/>
              </w:rPr>
              <w:t>Quais responsabilidades estão controladas?</w:t>
            </w:r>
          </w:p>
        </w:tc>
      </w:tr>
      <w:tr>
        <w:trPr>
          <w:cantSplit/>
        </w:trPr>
        <w:tc>
          <w:tcPr>
            <w:tcW w:w="3120" w:type="dxa"/>
            <w:tcBorders/>
            <w:vAlign w:val="center"/>
          </w:tcPr>
          <w:p>
            <w:pPr>
              <w:pStyle w:val="TableContents"/>
              <w:suppressLineNumbers/>
              <w:bidi w:val="0"/>
              <w:spacing w:before="0" w:after="40"/>
              <w:ind w:hanging="0" w:start="43" w:end="43"/>
              <w:rPr/>
            </w:pPr>
            <w:r>
              <w:rPr>
                <w:sz w:val="19"/>
              </w:rPr>
              <w:t>Sistema de IA</w:t>
            </w:r>
          </w:p>
        </w:tc>
        <w:tc>
          <w:tcPr>
            <w:tcW w:w="3120" w:type="dxa"/>
            <w:tcBorders/>
            <w:vAlign w:val="center"/>
          </w:tcPr>
          <w:p>
            <w:pPr>
              <w:pStyle w:val="TableContents"/>
              <w:suppressLineNumbers/>
              <w:bidi w:val="0"/>
              <w:spacing w:before="0" w:after="40"/>
              <w:ind w:hanging="0" w:start="43" w:end="43"/>
              <w:rPr/>
            </w:pPr>
            <w:r>
              <w:rPr>
                <w:sz w:val="19"/>
              </w:rPr>
              <w:t>Pessoas, dados, modelos, software, infraestrutura, processos e interfaces utilizados para um resultado de IA</w:t>
            </w:r>
          </w:p>
        </w:tc>
        <w:tc>
          <w:tcPr>
            <w:tcW w:w="3120" w:type="dxa"/>
            <w:tcBorders/>
            <w:vAlign w:val="center"/>
          </w:tcPr>
          <w:p>
            <w:pPr>
              <w:pStyle w:val="TableContents"/>
              <w:suppressLineNumbers/>
              <w:bidi w:val="0"/>
              <w:spacing w:before="0" w:after="40"/>
              <w:ind w:hanging="0" w:start="43" w:end="43"/>
              <w:rPr/>
            </w:pPr>
            <w:r>
              <w:rPr>
                <w:sz w:val="19"/>
              </w:rPr>
              <w:t>Qual é o limite completo?</w:t>
            </w:r>
          </w:p>
        </w:tc>
      </w:tr>
      <w:tr>
        <w:trPr>
          <w:cantSplit/>
        </w:trPr>
        <w:tc>
          <w:tcPr>
            <w:tcW w:w="3120" w:type="dxa"/>
            <w:tcBorders/>
            <w:vAlign w:val="center"/>
          </w:tcPr>
          <w:p>
            <w:pPr>
              <w:pStyle w:val="TableContents"/>
              <w:suppressLineNumbers/>
              <w:bidi w:val="0"/>
              <w:spacing w:before="0" w:after="40"/>
              <w:ind w:hanging="0" w:start="43" w:end="43"/>
              <w:rPr/>
            </w:pPr>
            <w:r>
              <w:rPr>
                <w:sz w:val="19"/>
              </w:rPr>
              <w:t>Conformidade</w:t>
            </w:r>
          </w:p>
        </w:tc>
        <w:tc>
          <w:tcPr>
            <w:tcW w:w="3120" w:type="dxa"/>
            <w:tcBorders/>
            <w:vAlign w:val="center"/>
          </w:tcPr>
          <w:p>
            <w:pPr>
              <w:pStyle w:val="TableContents"/>
              <w:suppressLineNumbers/>
              <w:bidi w:val="0"/>
              <w:spacing w:before="0" w:after="40"/>
              <w:ind w:hanging="0" w:start="43" w:end="43"/>
              <w:rPr/>
            </w:pPr>
            <w:r>
              <w:rPr>
                <w:sz w:val="19"/>
              </w:rPr>
              <w:t>Requisitos são atendidos dentro do escopo certificado</w:t>
            </w:r>
          </w:p>
        </w:tc>
        <w:tc>
          <w:tcPr>
            <w:tcW w:w="3120" w:type="dxa"/>
            <w:tcBorders/>
            <w:vAlign w:val="center"/>
          </w:tcPr>
          <w:p>
            <w:pPr>
              <w:pStyle w:val="TableContents"/>
              <w:suppressLineNumbers/>
              <w:bidi w:val="0"/>
              <w:spacing w:before="0" w:after="40"/>
              <w:ind w:hanging="0" w:start="43" w:end="43"/>
              <w:rPr/>
            </w:pPr>
            <w:r>
              <w:rPr>
                <w:sz w:val="19"/>
              </w:rPr>
              <w:t>Que cláusula, implementação, evidência e resultado sustentam a alegação?</w:t>
            </w:r>
          </w:p>
        </w:tc>
      </w:tr>
      <w:tr>
        <w:trPr>
          <w:cantSplit/>
        </w:trPr>
        <w:tc>
          <w:tcPr>
            <w:tcW w:w="3120" w:type="dxa"/>
            <w:tcBorders/>
            <w:vAlign w:val="center"/>
          </w:tcPr>
          <w:p>
            <w:pPr>
              <w:pStyle w:val="TableContents"/>
              <w:suppressLineNumbers/>
              <w:bidi w:val="0"/>
              <w:spacing w:before="0" w:after="40"/>
              <w:ind w:hanging="0" w:start="43" w:end="43"/>
              <w:rPr/>
            </w:pPr>
            <w:r>
              <w:rPr>
                <w:sz w:val="19"/>
              </w:rPr>
              <w:t>Certificação</w:t>
            </w:r>
          </w:p>
        </w:tc>
        <w:tc>
          <w:tcPr>
            <w:tcW w:w="3120" w:type="dxa"/>
            <w:tcBorders/>
            <w:vAlign w:val="center"/>
          </w:tcPr>
          <w:p>
            <w:pPr>
              <w:pStyle w:val="TableContents"/>
              <w:suppressLineNumbers/>
              <w:bidi w:val="0"/>
              <w:spacing w:before="0" w:after="40"/>
              <w:ind w:hanging="0" w:start="43" w:end="43"/>
              <w:rPr/>
            </w:pPr>
            <w:r>
              <w:rPr>
                <w:sz w:val="19"/>
              </w:rPr>
              <w:t>Avaliação independente por terceira parte do SGIA em relação à ISO/IEC 42001</w:t>
            </w:r>
          </w:p>
        </w:tc>
        <w:tc>
          <w:tcPr>
            <w:tcW w:w="3120" w:type="dxa"/>
            <w:tcBorders/>
            <w:vAlign w:val="center"/>
          </w:tcPr>
          <w:p>
            <w:pPr>
              <w:pStyle w:val="TableContents"/>
              <w:suppressLineNumbers/>
              <w:bidi w:val="0"/>
              <w:spacing w:before="0" w:after="40"/>
              <w:ind w:hanging="0" w:start="43" w:end="43"/>
              <w:rPr/>
            </w:pPr>
            <w:r>
              <w:rPr>
                <w:sz w:val="19"/>
              </w:rPr>
              <w:t>Qual entidade, escopo, norma, organismo, datas e status estão certificados?</w:t>
            </w:r>
          </w:p>
        </w:tc>
      </w:tr>
    </w:tbl>
    <w:p>
      <w:pPr>
        <w:pStyle w:val="Heading2"/>
        <w:tabs>
          <w:tab w:val="clear" w:pos="709"/>
          <w:tab w:val="left" w:pos="0" w:leader="none"/>
        </w:tabs>
        <w:bidi w:val="0"/>
        <w:ind w:hanging="0" w:start="0"/>
        <w:jc w:val="left"/>
        <w:rPr/>
        <w:keepNext/>
      </w:pPr>
      <w:bookmarkStart w:id="5" w:name="o-que-a-certificação-não-comprova"/>
      <w:r>
        <w:rPr/>
        <w:t>1.1 O que a certificação não comprova</w:t>
      </w:r>
      <w:bookmarkEnd w:id="5"/>
    </w:p>
    <w:p>
      <w:pPr>
        <w:pStyle w:val="BodyText"/>
        <w:numPr>
          <w:ilvl w:val="0"/>
          <w:numId w:val="3"/>
        </w:numPr>
        <w:bidi w:val="0"/>
        <w:spacing w:before="0" w:after="0"/>
        <w:rPr/>
      </w:pPr>
      <w:r>
        <w:rPr/>
        <w:t>Não garante que toda saída de IA seja precisa, imparcial, protegida contra ameaças, lícita, segura para as pessoas ou explicável.</w:t>
      </w:r>
    </w:p>
    <w:p>
      <w:pPr>
        <w:pStyle w:val="BodyText"/>
        <w:numPr>
          <w:ilvl w:val="0"/>
          <w:numId w:val="3"/>
        </w:numPr>
        <w:bidi w:val="0"/>
        <w:spacing w:before="0" w:after="0"/>
        <w:rPr/>
      </w:pPr>
      <w:r>
        <w:rPr/>
        <w:t>Não certifica produtos de IA individualmente, salvo quando o escopo do SGIA certificado e o esquema sustentarem explicitamente essa alegação.</w:t>
      </w:r>
    </w:p>
    <w:p>
      <w:pPr>
        <w:pStyle w:val="BodyText"/>
        <w:numPr>
          <w:ilvl w:val="0"/>
          <w:numId w:val="3"/>
        </w:numPr>
        <w:bidi w:val="0"/>
        <w:spacing w:before="0" w:after="0"/>
        <w:rPr/>
      </w:pPr>
      <w:r>
        <w:rPr/>
        <w:t>Não substitui testes de produto, análise jurídica, avaliação de impacto, controles de privacidade/segurança, validação de domínio ou supervisão humana.</w:t>
      </w:r>
    </w:p>
    <w:p>
      <w:pPr>
        <w:pStyle w:val="BodyText"/>
        <w:numPr>
          <w:ilvl w:val="0"/>
          <w:numId w:val="3"/>
        </w:numPr>
        <w:bidi w:val="0"/>
        <w:spacing w:before="0" w:after="0"/>
        <w:rPr/>
      </w:pPr>
      <w:r>
        <w:rPr/>
        <w:t>Não transfere a responsabilização da organização para o organismo de certificação ou fornecedor.</w:t>
      </w:r>
    </w:p>
    <w:p>
      <w:pPr>
        <w:pStyle w:val="Heading1"/>
        <w:tabs>
          <w:tab w:val="clear" w:pos="709"/>
          <w:tab w:val="left" w:pos="0" w:leader="none"/>
        </w:tabs>
        <w:bidi w:val="0"/>
        <w:ind w:hanging="0" w:start="0"/>
        <w:jc w:val="left"/>
        <w:rPr/>
        <w:keepNext/>
      </w:pPr>
      <w:bookmarkStart w:id="6" w:name="arquitetura-do-sgia-e-ciclo-planejar-faz"/>
      <w:r>
        <w:rPr/>
        <w:t>2. Arquitetura do SGIA e ciclo Planejar-Fazer-Verificar-Agir</w:t>
      </w:r>
      <w:bookmarkEnd w:id="6"/>
    </w:p>
    <w:p>
      <w:pPr>
        <w:pStyle w:val="Firstparagraph"/>
        <w:bidi w:val="0"/>
        <w:rPr>
          <w:i/>
          <w:iCs/>
        </w:rPr>
      </w:pPr>
      <w:r>
        <w:rPr>
          <w:i/>
          <w:iCs/>
        </w:rPr>
        <w:t>O SGIA segue a estrutura harmonizada dos sistemas de gestão e um ciclo contínuo Planejar-Fazer-Verificar-Agir (PDCA).</w:t>
      </w:r>
    </w:p>
    <w:p>
      <w:pPr>
        <w:pStyle w:val="FigureWithCaption"/>
        <w:keepNext w:val="true"/>
        <w:suppressLineNumbers/>
        <w:bidi w:val="0"/>
        <w:rPr/>
      </w:pPr>
      <w:r>
        <w:rPr/>
        <w:drawing>
          <wp:inline distT="0" distB="0" distL="0" distR="0">
            <wp:extent cx="5623560" cy="2955925"/>
            <wp:effectExtent l="0" t="0" r="0" b="0"/>
            <wp:docPr id="1" name="Manual 02 Figure 1" title="Figure 1" descr="As cláusulas interagem continuamente; a norma não é uma lista de verificação linear concluída uma únic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As cláusulas interagem continuamente; a norma não é uma lista de verificação linear concluída uma única vez.</w:t>
      </w:r>
    </w:p>
    <w:p>
      <w:pPr>
        <w:pStyle w:val="Caption"/>
        <w:bidi w:val="0"/>
        <w:spacing w:before="86" w:after="86"/>
        <w:rPr/>
        <w:keepNext/>
      </w:pPr>
      <w:r>
        <w:rPr/>
        <w:t>Figura 1. Ciclo PDCA do SGIA</w:t>
      </w:r>
    </w:p>
    <w:p>
      <w:pPr>
        <w:pStyle w:val="BlockQuotation"/>
        <w:bidi w:val="0"/>
        <w:ind w:hanging="0" w:start="720" w:end="0"/>
        <w:rPr/>
      </w:pPr>
      <w:r>
        <w:rPr>
          <w:b/>
          <w:bCs/>
        </w:rPr>
        <w:t>Explicação acessível:</w:t>
      </w:r>
      <w:r>
        <w:rPr/>
        <w:t xml:space="preserve"> A figura mostra que o SGIA funciona como um ciclo. A organização planeja contexto, riscos, impactos e objetivos; executa controles e processos; verifica o desempenho por medição, auditoria interna e análise crítica pela direção; e age sobre não conformidades e oportunidades de melhoria antes de reiniciar o ciclo.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Etapa PDCA</w:t>
            </w:r>
          </w:p>
        </w:tc>
        <w:tc>
          <w:tcPr>
            <w:tcW w:w="3120" w:type="dxa"/>
            <w:tcBorders/>
            <w:vAlign w:val="center"/>
            <w:shd w:fill="1F4E78"/>
          </w:tcPr>
          <w:p>
            <w:pPr>
              <w:pStyle w:val="TableHeading"/>
              <w:bidi w:val="0"/>
              <w:spacing w:before="0" w:after="40"/>
              <w:rPr>
                <w:b/>
                <w:bCs/>
              </w:rPr>
            </w:pPr>
            <w:r>
              <w:rPr>
                <w:b/>
                <w:bCs/>
                <w:sz w:val="19"/>
                <w:color w:val="FFFFFF"/>
              </w:rPr>
              <w:t>Trabalho da ISO/IEC 42001</w:t>
            </w:r>
          </w:p>
        </w:tc>
        <w:tc>
          <w:tcPr>
            <w:tcW w:w="3120" w:type="dxa"/>
            <w:tcBorders/>
            <w:vAlign w:val="center"/>
            <w:shd w:fill="1F4E78"/>
          </w:tcPr>
          <w:p>
            <w:pPr>
              <w:pStyle w:val="TableHeading"/>
              <w:bidi w:val="0"/>
              <w:spacing w:before="0" w:after="40"/>
              <w:rPr>
                <w:b/>
                <w:bCs/>
              </w:rPr>
            </w:pPr>
            <w:r>
              <w:rPr>
                <w:b/>
                <w:bCs/>
                <w:sz w:val="19"/>
                <w:color w:val="FFFFFF"/>
              </w:rPr>
              <w:t>Saída típica</w:t>
            </w:r>
          </w:p>
        </w:tc>
      </w:tr>
      <w:tr>
        <w:trPr>
          <w:cantSplit/>
        </w:trPr>
        <w:tc>
          <w:tcPr>
            <w:tcW w:w="3120" w:type="dxa"/>
            <w:tcBorders/>
            <w:vAlign w:val="center"/>
          </w:tcPr>
          <w:p>
            <w:pPr>
              <w:pStyle w:val="TableContents"/>
              <w:suppressLineNumbers/>
              <w:bidi w:val="0"/>
              <w:spacing w:before="0" w:after="40"/>
              <w:ind w:hanging="0" w:start="43" w:end="43"/>
              <w:rPr/>
            </w:pPr>
            <w:r>
              <w:rPr>
                <w:sz w:val="19"/>
              </w:rPr>
              <w:t>Planejar</w:t>
            </w:r>
          </w:p>
        </w:tc>
        <w:tc>
          <w:tcPr>
            <w:tcW w:w="3120" w:type="dxa"/>
            <w:tcBorders/>
            <w:vAlign w:val="center"/>
          </w:tcPr>
          <w:p>
            <w:pPr>
              <w:pStyle w:val="TableContents"/>
              <w:suppressLineNumbers/>
              <w:bidi w:val="0"/>
              <w:spacing w:before="0" w:after="40"/>
              <w:ind w:hanging="0" w:start="43" w:end="43"/>
              <w:rPr/>
            </w:pPr>
            <w:r>
              <w:rPr>
                <w:sz w:val="19"/>
              </w:rPr>
              <w:t>Contexto, liderança, risco/oportunidade, avaliação, tratamento, objetivos e recursos</w:t>
            </w:r>
          </w:p>
        </w:tc>
        <w:tc>
          <w:tcPr>
            <w:tcW w:w="3120" w:type="dxa"/>
            <w:tcBorders/>
            <w:vAlign w:val="center"/>
          </w:tcPr>
          <w:p>
            <w:pPr>
              <w:pStyle w:val="TableContents"/>
              <w:suppressLineNumbers/>
              <w:bidi w:val="0"/>
              <w:spacing w:before="0" w:after="40"/>
              <w:ind w:hanging="0" w:start="43" w:end="43"/>
              <w:rPr/>
            </w:pPr>
            <w:r>
              <w:rPr>
                <w:sz w:val="19"/>
              </w:rPr>
              <w:t>Escopo, política, métodos, registro de riscos, processo de impacto, Declaração de Aplicabilidade e objetivos</w:t>
            </w:r>
          </w:p>
        </w:tc>
      </w:tr>
      <w:tr>
        <w:trPr>
          <w:cantSplit/>
        </w:trPr>
        <w:tc>
          <w:tcPr>
            <w:tcW w:w="3120" w:type="dxa"/>
            <w:tcBorders/>
            <w:vAlign w:val="center"/>
          </w:tcPr>
          <w:p>
            <w:pPr>
              <w:pStyle w:val="TableContents"/>
              <w:suppressLineNumbers/>
              <w:bidi w:val="0"/>
              <w:spacing w:before="0" w:after="40"/>
              <w:ind w:hanging="0" w:start="43" w:end="43"/>
              <w:rPr/>
            </w:pPr>
            <w:r>
              <w:rPr>
                <w:sz w:val="19"/>
              </w:rPr>
              <w:t>Fazer</w:t>
            </w:r>
          </w:p>
        </w:tc>
        <w:tc>
          <w:tcPr>
            <w:tcW w:w="3120" w:type="dxa"/>
            <w:tcBorders/>
            <w:vAlign w:val="center"/>
          </w:tcPr>
          <w:p>
            <w:pPr>
              <w:pStyle w:val="TableContents"/>
              <w:suppressLineNumbers/>
              <w:bidi w:val="0"/>
              <w:spacing w:before="0" w:after="40"/>
              <w:ind w:hanging="0" w:start="43" w:end="43"/>
              <w:rPr/>
            </w:pPr>
            <w:r>
              <w:rPr>
                <w:sz w:val="19"/>
              </w:rPr>
              <w:t>Competência, comunicação, documentação, controles operacionais e avaliações</w:t>
            </w:r>
          </w:p>
        </w:tc>
        <w:tc>
          <w:tcPr>
            <w:tcW w:w="3120" w:type="dxa"/>
            <w:tcBorders/>
            <w:vAlign w:val="center"/>
          </w:tcPr>
          <w:p>
            <w:pPr>
              <w:pStyle w:val="TableContents"/>
              <w:suppressLineNumbers/>
              <w:bidi w:val="0"/>
              <w:spacing w:before="0" w:after="40"/>
              <w:ind w:hanging="0" w:start="43" w:end="43"/>
              <w:rPr/>
            </w:pPr>
            <w:r>
              <w:rPr>
                <w:sz w:val="19"/>
              </w:rPr>
              <w:t>Procedimentos, registros do sistema, aprovações e evidências de fornecedores e ciclo de vida</w:t>
            </w:r>
          </w:p>
        </w:tc>
      </w:tr>
      <w:tr>
        <w:trPr>
          <w:cantSplit/>
        </w:trPr>
        <w:tc>
          <w:tcPr>
            <w:tcW w:w="3120" w:type="dxa"/>
            <w:tcBorders/>
            <w:vAlign w:val="center"/>
          </w:tcPr>
          <w:p>
            <w:pPr>
              <w:pStyle w:val="TableContents"/>
              <w:suppressLineNumbers/>
              <w:bidi w:val="0"/>
              <w:spacing w:before="0" w:after="40"/>
              <w:ind w:hanging="0" w:start="43" w:end="43"/>
              <w:rPr/>
            </w:pPr>
            <w:r>
              <w:rPr>
                <w:sz w:val="19"/>
              </w:rPr>
              <w:t>Verificar</w:t>
            </w:r>
          </w:p>
        </w:tc>
        <w:tc>
          <w:tcPr>
            <w:tcW w:w="3120" w:type="dxa"/>
            <w:tcBorders/>
            <w:vAlign w:val="center"/>
          </w:tcPr>
          <w:p>
            <w:pPr>
              <w:pStyle w:val="TableContents"/>
              <w:suppressLineNumbers/>
              <w:bidi w:val="0"/>
              <w:spacing w:before="0" w:after="40"/>
              <w:ind w:hanging="0" w:start="43" w:end="43"/>
              <w:rPr/>
            </w:pPr>
            <w:r>
              <w:rPr>
                <w:sz w:val="19"/>
              </w:rPr>
              <w:t>Monitoramento, medição, análise, auditoria interna e análise crítica pela direção</w:t>
            </w:r>
          </w:p>
        </w:tc>
        <w:tc>
          <w:tcPr>
            <w:tcW w:w="3120" w:type="dxa"/>
            <w:tcBorders/>
            <w:vAlign w:val="center"/>
          </w:tcPr>
          <w:p>
            <w:pPr>
              <w:pStyle w:val="TableContents"/>
              <w:suppressLineNumbers/>
              <w:bidi w:val="0"/>
              <w:spacing w:before="0" w:after="40"/>
              <w:ind w:hanging="0" w:start="43" w:end="43"/>
              <w:rPr/>
            </w:pPr>
            <w:r>
              <w:rPr>
                <w:sz w:val="19"/>
              </w:rPr>
              <w:t>Métricas, avaliação, relatório de auditoria e decisões de análise crítica</w:t>
            </w:r>
          </w:p>
        </w:tc>
      </w:tr>
      <w:tr>
        <w:trPr>
          <w:cantSplit/>
        </w:trPr>
        <w:tc>
          <w:tcPr>
            <w:tcW w:w="3120" w:type="dxa"/>
            <w:tcBorders/>
            <w:vAlign w:val="center"/>
          </w:tcPr>
          <w:p>
            <w:pPr>
              <w:pStyle w:val="TableContents"/>
              <w:suppressLineNumbers/>
              <w:bidi w:val="0"/>
              <w:spacing w:before="0" w:after="40"/>
              <w:ind w:hanging="0" w:start="43" w:end="43"/>
              <w:rPr/>
            </w:pPr>
            <w:r>
              <w:rPr>
                <w:sz w:val="19"/>
              </w:rPr>
              <w:t>Agir</w:t>
            </w:r>
          </w:p>
        </w:tc>
        <w:tc>
          <w:tcPr>
            <w:tcW w:w="3120" w:type="dxa"/>
            <w:tcBorders/>
            <w:vAlign w:val="center"/>
          </w:tcPr>
          <w:p>
            <w:pPr>
              <w:pStyle w:val="TableContents"/>
              <w:suppressLineNumbers/>
              <w:bidi w:val="0"/>
              <w:spacing w:before="0" w:after="40"/>
              <w:ind w:hanging="0" w:start="43" w:end="43"/>
              <w:rPr/>
            </w:pPr>
            <w:r>
              <w:rPr>
                <w:sz w:val="19"/>
              </w:rPr>
              <w:t>Não conformidade, correção, causa-raiz, ação corretiva e melhoria</w:t>
            </w:r>
          </w:p>
        </w:tc>
        <w:tc>
          <w:tcPr>
            <w:tcW w:w="3120" w:type="dxa"/>
            <w:tcBorders/>
            <w:vAlign w:val="center"/>
          </w:tcPr>
          <w:p>
            <w:pPr>
              <w:pStyle w:val="TableContents"/>
              <w:suppressLineNumbers/>
              <w:bidi w:val="0"/>
              <w:spacing w:before="0" w:after="40"/>
              <w:ind w:hanging="0" w:start="43" w:end="43"/>
              <w:rPr/>
            </w:pPr>
            <w:r>
              <w:rPr>
                <w:sz w:val="19"/>
              </w:rPr>
              <w:t>Registros de ações, testes de eficácia e riscos/controles/objetivos atualizados</w:t>
            </w:r>
          </w:p>
        </w:tc>
      </w:tr>
    </w:tbl>
    <w:p>
      <w:pPr>
        <w:pStyle w:val="Heading2"/>
        <w:tabs>
          <w:tab w:val="clear" w:pos="709"/>
          <w:tab w:val="left" w:pos="0" w:leader="none"/>
        </w:tabs>
        <w:bidi w:val="0"/>
        <w:ind w:hanging="0" w:start="0"/>
        <w:jc w:val="left"/>
        <w:rPr/>
        <w:keepNext/>
      </w:pPr>
      <w:bookmarkStart w:id="7" w:name="integração-com-sistemas-existentes"/>
      <w:r>
        <w:rPr/>
        <w:t>2.1 Integração com sistemas existentes</w:t>
      </w:r>
      <w:bookmarkEnd w:id="7"/>
    </w:p>
    <w:p>
      <w:pPr>
        <w:pStyle w:val="BodyText"/>
        <w:numPr>
          <w:ilvl w:val="0"/>
          <w:numId w:val="4"/>
        </w:numPr>
        <w:bidi w:val="0"/>
        <w:spacing w:before="0" w:after="0"/>
        <w:rPr/>
      </w:pPr>
      <w:r>
        <w:rPr/>
        <w:t>Reutilize processos de governança, controle documental, risco, auditoria, ação corretiva, fornecedores, segurança, privacidade, qualidade e continuidade quando seu escopo e controles forem adequados ao risco de IA.</w:t>
      </w:r>
    </w:p>
    <w:p>
      <w:pPr>
        <w:pStyle w:val="BodyText"/>
        <w:numPr>
          <w:ilvl w:val="0"/>
          <w:numId w:val="4"/>
        </w:numPr>
        <w:bidi w:val="0"/>
        <w:spacing w:before="0" w:after="0"/>
        <w:rPr/>
      </w:pPr>
      <w:r>
        <w:rPr/>
        <w:t>Crie complementos específicos de IA para avaliação de impacto, ciclo de vida de modelos/dados, uso responsável, transparência, supervisão humana e responsabilidades da cadeia de valor.</w:t>
      </w:r>
    </w:p>
    <w:p>
      <w:pPr>
        <w:pStyle w:val="BodyText"/>
        <w:numPr>
          <w:ilvl w:val="0"/>
          <w:numId w:val="4"/>
        </w:numPr>
        <w:bidi w:val="0"/>
        <w:spacing w:before="0" w:after="0"/>
        <w:rPr/>
      </w:pPr>
      <w:r>
        <w:rPr/>
        <w:t>Mantenha uma única fonte de verdade e mapeie-a para ISO/IEC 27001:2022, ISO 9001, privacidade, obrigações legais, NIST AI RMF e deveres setoriais em vez de duplicar registros.</w:t>
      </w:r>
    </w:p>
    <w:p>
      <w:pPr>
        <w:pStyle w:val="Heading1"/>
        <w:tabs>
          <w:tab w:val="clear" w:pos="709"/>
          <w:tab w:val="left" w:pos="0" w:leader="none"/>
        </w:tabs>
        <w:bidi w:val="0"/>
        <w:ind w:hanging="0" w:start="0"/>
        <w:jc w:val="left"/>
        <w:rPr/>
        <w:keepNext/>
      </w:pPr>
      <w:bookmarkStart w:id="8" w:name="aplicabilidade-papéis-organizacionais-e-"/>
      <w:r>
        <w:rPr/>
        <w:t>3. Aplicabilidade, papéis organizacionais e roteiro de implementação</w:t>
      </w:r>
      <w:bookmarkEnd w:id="8"/>
    </w:p>
    <w:p>
      <w:pPr>
        <w:pStyle w:val="Firstparagraph"/>
        <w:bidi w:val="0"/>
        <w:rPr>
          <w:i/>
          <w:iCs/>
        </w:rPr>
      </w:pPr>
      <w:r>
        <w:rPr>
          <w:i/>
          <w:iCs/>
        </w:rPr>
        <w:t>Uma implementação útil começa com controle organizacional, inventário preciso de IA, papéis responsáveis e um roteiro por etapas.</w:t>
      </w:r>
    </w:p>
    <w:p>
      <w:pPr>
        <w:pStyle w:val="FigureWithCaption"/>
        <w:keepNext w:val="true"/>
        <w:suppressLineNumbers/>
        <w:bidi w:val="0"/>
        <w:rPr/>
      </w:pPr>
      <w:r>
        <w:rPr/>
        <w:drawing>
          <wp:inline distT="0" distB="0" distL="0" distR="0">
            <wp:extent cx="5623560" cy="2955925"/>
            <wp:effectExtent l="0" t="0" r="0" b="0"/>
            <wp:docPr id="2" name="Manual 02 Figure 2" title="Figure 2" descr="O escopo deve descrever honestamente limites organizacionais, papéis de IA, sistemas, dados, fornecedores e exclus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O escopo deve descrever honestamente limites organizacionais, papéis de IA, sistemas, dados, fornecedores e exclusões.</w:t>
      </w:r>
    </w:p>
    <w:p>
      <w:pPr>
        <w:pStyle w:val="Caption"/>
        <w:bidi w:val="0"/>
        <w:spacing w:before="86" w:after="86"/>
        <w:rPr/>
        <w:keepNext/>
      </w:pPr>
      <w:r>
        <w:rPr/>
        <w:t>Figura 2. Cadeia de construção do escopo</w:t>
      </w:r>
    </w:p>
    <w:p>
      <w:pPr>
        <w:pStyle w:val="BlockQuotation"/>
        <w:bidi w:val="0"/>
        <w:ind w:hanging="0" w:start="720" w:end="0"/>
        <w:rPr/>
      </w:pPr>
      <w:r>
        <w:rPr>
          <w:b/>
          <w:bCs/>
        </w:rPr>
        <w:t>Explicação acessível:</w:t>
      </w:r>
      <w:r>
        <w:rPr/>
        <w:t xml:space="preserve"> A figura representa a construção do escopo desde a organização e seus papéis de IA até sistemas, dados, fornecedores, interfaces e exclusões. Cada limite deve ter justificativa que não evite requisitos aplicáveis.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Papel</w:t>
            </w:r>
          </w:p>
        </w:tc>
        <w:tc>
          <w:tcPr>
            <w:tcW w:w="4680" w:type="dxa"/>
            <w:tcBorders/>
            <w:vAlign w:val="center"/>
            <w:shd w:fill="1F4E78"/>
          </w:tcPr>
          <w:p>
            <w:pPr>
              <w:pStyle w:val="TableHeading"/>
              <w:bidi w:val="0"/>
              <w:spacing w:before="0" w:after="40"/>
              <w:rPr>
                <w:b/>
                <w:bCs/>
              </w:rPr>
            </w:pPr>
            <w:r>
              <w:rPr>
                <w:b/>
                <w:bCs/>
                <w:sz w:val="19"/>
                <w:color w:val="FFFFFF"/>
              </w:rPr>
              <w:t>Responsabilidade principal</w:t>
            </w:r>
          </w:p>
        </w:tc>
      </w:tr>
      <w:tr>
        <w:trPr>
          <w:cantSplit/>
        </w:trPr>
        <w:tc>
          <w:tcPr>
            <w:tcW w:w="4680" w:type="dxa"/>
            <w:tcBorders/>
            <w:vAlign w:val="center"/>
          </w:tcPr>
          <w:p>
            <w:pPr>
              <w:pStyle w:val="TableContents"/>
              <w:suppressLineNumbers/>
              <w:bidi w:val="0"/>
              <w:spacing w:before="0" w:after="40"/>
              <w:ind w:hanging="0" w:start="43" w:end="43"/>
              <w:rPr/>
            </w:pPr>
            <w:r>
              <w:rPr>
                <w:sz w:val="19"/>
              </w:rPr>
              <w:t>Órgão de governança / executivos</w:t>
            </w:r>
          </w:p>
        </w:tc>
        <w:tc>
          <w:tcPr>
            <w:tcW w:w="4680" w:type="dxa"/>
            <w:tcBorders/>
            <w:vAlign w:val="center"/>
          </w:tcPr>
          <w:p>
            <w:pPr>
              <w:pStyle w:val="TableContents"/>
              <w:suppressLineNumbers/>
              <w:bidi w:val="0"/>
              <w:spacing w:before="0" w:after="40"/>
              <w:ind w:hanging="0" w:start="43" w:end="43"/>
              <w:rPr/>
            </w:pPr>
            <w:r>
              <w:rPr>
                <w:sz w:val="19"/>
              </w:rPr>
              <w:t>Supervisão, direção, recursos, apetite a risco e decisões materiais</w:t>
            </w:r>
          </w:p>
        </w:tc>
      </w:tr>
      <w:tr>
        <w:trPr>
          <w:cantSplit/>
        </w:trPr>
        <w:tc>
          <w:tcPr>
            <w:tcW w:w="4680" w:type="dxa"/>
            <w:tcBorders/>
            <w:vAlign w:val="center"/>
          </w:tcPr>
          <w:p>
            <w:pPr>
              <w:pStyle w:val="TableContents"/>
              <w:suppressLineNumbers/>
              <w:bidi w:val="0"/>
              <w:spacing w:before="0" w:after="40"/>
              <w:ind w:hanging="0" w:start="43" w:end="43"/>
              <w:rPr/>
            </w:pPr>
            <w:r>
              <w:rPr>
                <w:sz w:val="19"/>
              </w:rPr>
              <w:t>Líder do SGIA</w:t>
            </w:r>
          </w:p>
        </w:tc>
        <w:tc>
          <w:tcPr>
            <w:tcW w:w="4680" w:type="dxa"/>
            <w:tcBorders/>
            <w:vAlign w:val="center"/>
          </w:tcPr>
          <w:p>
            <w:pPr>
              <w:pStyle w:val="TableContents"/>
              <w:suppressLineNumbers/>
              <w:bidi w:val="0"/>
              <w:spacing w:before="0" w:after="40"/>
              <w:ind w:hanging="0" w:start="43" w:end="43"/>
              <w:rPr/>
            </w:pPr>
            <w:r>
              <w:rPr>
                <w:sz w:val="19"/>
              </w:rPr>
              <w:t>Coordenar sistema de gestão, desempenho, auditorias e melhoria</w:t>
            </w:r>
          </w:p>
        </w:tc>
      </w:tr>
      <w:tr>
        <w:trPr>
          <w:cantSplit/>
        </w:trPr>
        <w:tc>
          <w:tcPr>
            <w:tcW w:w="4680" w:type="dxa"/>
            <w:tcBorders/>
            <w:vAlign w:val="center"/>
          </w:tcPr>
          <w:p>
            <w:pPr>
              <w:pStyle w:val="TableContents"/>
              <w:suppressLineNumbers/>
              <w:bidi w:val="0"/>
              <w:spacing w:before="0" w:after="40"/>
              <w:ind w:hanging="0" w:start="43" w:end="43"/>
              <w:rPr/>
            </w:pPr>
            <w:r>
              <w:rPr>
                <w:sz w:val="19"/>
              </w:rPr>
              <w:t>Proprietário de negócio/sistema de IA</w:t>
            </w:r>
          </w:p>
        </w:tc>
        <w:tc>
          <w:tcPr>
            <w:tcW w:w="4680" w:type="dxa"/>
            <w:tcBorders/>
            <w:vAlign w:val="center"/>
          </w:tcPr>
          <w:p>
            <w:pPr>
              <w:pStyle w:val="TableContents"/>
              <w:suppressLineNumbers/>
              <w:bidi w:val="0"/>
              <w:spacing w:before="0" w:after="40"/>
              <w:ind w:hanging="0" w:start="43" w:end="43"/>
              <w:rPr/>
            </w:pPr>
            <w:r>
              <w:rPr>
                <w:sz w:val="19"/>
              </w:rPr>
              <w:t>Finalidade, resultado, processo afetado, risco, aprovação e monitoramento</w:t>
            </w:r>
          </w:p>
        </w:tc>
      </w:tr>
      <w:tr>
        <w:trPr>
          <w:cantSplit/>
        </w:trPr>
        <w:tc>
          <w:tcPr>
            <w:tcW w:w="4680" w:type="dxa"/>
            <w:tcBorders/>
            <w:vAlign w:val="center"/>
          </w:tcPr>
          <w:p>
            <w:pPr>
              <w:pStyle w:val="TableContents"/>
              <w:suppressLineNumbers/>
              <w:bidi w:val="0"/>
              <w:spacing w:before="0" w:after="40"/>
              <w:ind w:hanging="0" w:start="43" w:end="43"/>
              <w:rPr/>
            </w:pPr>
            <w:r>
              <w:rPr>
                <w:sz w:val="19"/>
              </w:rPr>
              <w:t>Modelo/dados/produto/engenharia</w:t>
            </w:r>
          </w:p>
        </w:tc>
        <w:tc>
          <w:tcPr>
            <w:tcW w:w="4680" w:type="dxa"/>
            <w:tcBorders/>
            <w:vAlign w:val="center"/>
          </w:tcPr>
          <w:p>
            <w:pPr>
              <w:pStyle w:val="TableContents"/>
              <w:suppressLineNumbers/>
              <w:bidi w:val="0"/>
              <w:spacing w:before="0" w:after="40"/>
              <w:ind w:hanging="0" w:start="43" w:end="43"/>
              <w:rPr/>
            </w:pPr>
            <w:r>
              <w:rPr>
                <w:sz w:val="19"/>
              </w:rPr>
              <w:t>Requisitos, projeto, dados, avaliação, implantação e mudança</w:t>
            </w:r>
          </w:p>
        </w:tc>
      </w:tr>
      <w:tr>
        <w:trPr>
          <w:cantSplit/>
        </w:trPr>
        <w:tc>
          <w:tcPr>
            <w:tcW w:w="4680" w:type="dxa"/>
            <w:tcBorders/>
            <w:vAlign w:val="center"/>
          </w:tcPr>
          <w:p>
            <w:pPr>
              <w:pStyle w:val="TableContents"/>
              <w:suppressLineNumbers/>
              <w:bidi w:val="0"/>
              <w:spacing w:before="0" w:after="40"/>
              <w:ind w:hanging="0" w:start="43" w:end="43"/>
              <w:rPr/>
            </w:pPr>
            <w:r>
              <w:rPr>
                <w:sz w:val="19"/>
              </w:rPr>
              <w:t>Segurança/privacidade/jurídico/conformidade/segurança funcional</w:t>
            </w:r>
          </w:p>
        </w:tc>
        <w:tc>
          <w:tcPr>
            <w:tcW w:w="4680" w:type="dxa"/>
            <w:tcBorders/>
            <w:vAlign w:val="center"/>
          </w:tcPr>
          <w:p>
            <w:pPr>
              <w:pStyle w:val="TableContents"/>
              <w:suppressLineNumbers/>
              <w:bidi w:val="0"/>
              <w:spacing w:before="0" w:after="40"/>
              <w:ind w:hanging="0" w:start="43" w:end="43"/>
              <w:rPr/>
            </w:pPr>
            <w:r>
              <w:rPr>
                <w:sz w:val="19"/>
              </w:rPr>
              <w:t>Requisitos especializados, revisão, contestação e incidentes</w:t>
            </w:r>
          </w:p>
        </w:tc>
      </w:tr>
      <w:tr>
        <w:trPr>
          <w:cantSplit/>
        </w:trPr>
        <w:tc>
          <w:tcPr>
            <w:tcW w:w="4680" w:type="dxa"/>
            <w:tcBorders/>
            <w:vAlign w:val="center"/>
          </w:tcPr>
          <w:p>
            <w:pPr>
              <w:pStyle w:val="TableContents"/>
              <w:suppressLineNumbers/>
              <w:bidi w:val="0"/>
              <w:spacing w:before="0" w:after="40"/>
              <w:ind w:hanging="0" w:start="43" w:end="43"/>
              <w:rPr/>
            </w:pPr>
            <w:r>
              <w:rPr>
                <w:sz w:val="19"/>
              </w:rPr>
              <w:t>Compras/gestor de fornecedores</w:t>
            </w:r>
          </w:p>
        </w:tc>
        <w:tc>
          <w:tcPr>
            <w:tcW w:w="4680" w:type="dxa"/>
            <w:tcBorders/>
            <w:vAlign w:val="center"/>
          </w:tcPr>
          <w:p>
            <w:pPr>
              <w:pStyle w:val="TableContents"/>
              <w:suppressLineNumbers/>
              <w:bidi w:val="0"/>
              <w:spacing w:before="0" w:after="40"/>
              <w:ind w:hanging="0" w:start="43" w:end="43"/>
              <w:rPr/>
            </w:pPr>
            <w:r>
              <w:rPr>
                <w:sz w:val="19"/>
              </w:rPr>
              <w:t>Diligência prévia, alocação, contratos, evidências, monitoramento e saída</w:t>
            </w:r>
          </w:p>
        </w:tc>
      </w:tr>
      <w:tr>
        <w:trPr>
          <w:cantSplit/>
        </w:trPr>
        <w:tc>
          <w:tcPr>
            <w:tcW w:w="4680" w:type="dxa"/>
            <w:tcBorders/>
            <w:vAlign w:val="center"/>
          </w:tcPr>
          <w:p>
            <w:pPr>
              <w:pStyle w:val="TableContents"/>
              <w:suppressLineNumbers/>
              <w:bidi w:val="0"/>
              <w:spacing w:before="0" w:after="40"/>
              <w:ind w:hanging="0" w:start="43" w:end="43"/>
              <w:rPr/>
            </w:pPr>
            <w:r>
              <w:rPr>
                <w:sz w:val="19"/>
              </w:rPr>
              <w:t>Auditoria interna</w:t>
            </w:r>
          </w:p>
        </w:tc>
        <w:tc>
          <w:tcPr>
            <w:tcW w:w="4680" w:type="dxa"/>
            <w:tcBorders/>
            <w:vAlign w:val="center"/>
          </w:tcPr>
          <w:p>
            <w:pPr>
              <w:pStyle w:val="TableContents"/>
              <w:suppressLineNumbers/>
              <w:bidi w:val="0"/>
              <w:spacing w:before="0" w:after="40"/>
              <w:ind w:hanging="0" w:start="43" w:end="43"/>
              <w:rPr/>
            </w:pPr>
            <w:r>
              <w:rPr>
                <w:sz w:val="19"/>
              </w:rPr>
              <w:t>Avaliação independente e objetiva sem ser proprietária dos controles</w:t>
            </w:r>
          </w:p>
        </w:tc>
      </w:tr>
    </w:tbl>
    <w:p>
      <w:pPr>
        <w:pStyle w:val="Heading2"/>
        <w:tabs>
          <w:tab w:val="clear" w:pos="709"/>
          <w:tab w:val="left" w:pos="0" w:leader="none"/>
        </w:tabs>
        <w:bidi w:val="0"/>
        <w:ind w:hanging="0" w:start="0"/>
        <w:jc w:val="left"/>
        <w:rPr/>
        <w:keepNext/>
      </w:pPr>
      <w:bookmarkStart w:id="9" w:name="roteiro-de-implementação"/>
      <w:r>
        <w:rPr/>
        <w:t>3.1 Roteiro de implementação</w:t>
      </w:r>
      <w:bookmarkEnd w:id="9"/>
    </w:p>
    <w:p>
      <w:pPr>
        <w:pStyle w:val="BodyText"/>
        <w:numPr>
          <w:ilvl w:val="0"/>
          <w:numId w:val="5"/>
        </w:numPr>
        <w:bidi w:val="0"/>
        <w:spacing w:before="0" w:after="0"/>
        <w:rPr/>
      </w:pPr>
      <w:r>
        <w:rPr/>
        <w:t>Autorize o programa e obtenha as normas; defina finalidade, patrocinador, recursos e governança.</w:t>
      </w:r>
    </w:p>
    <w:p>
      <w:pPr>
        <w:pStyle w:val="BodyText"/>
        <w:numPr>
          <w:ilvl w:val="0"/>
          <w:numId w:val="5"/>
        </w:numPr>
        <w:bidi w:val="0"/>
        <w:spacing w:before="0" w:after="0"/>
        <w:rPr/>
      </w:pPr>
      <w:r>
        <w:rPr/>
        <w:t>Inventarie sistemas e papéis de IA; realize análise de contexto e partes interessadas; redija escopo e política.</w:t>
      </w:r>
    </w:p>
    <w:p>
      <w:pPr>
        <w:pStyle w:val="BodyText"/>
        <w:numPr>
          <w:ilvl w:val="0"/>
          <w:numId w:val="5"/>
        </w:numPr>
        <w:bidi w:val="0"/>
        <w:spacing w:before="0" w:after="0"/>
        <w:rPr/>
      </w:pPr>
      <w:r>
        <w:rPr/>
        <w:t>Defina processos de risco, impacto, tratamento, Declaração de Aplicabilidade, objetivos, documentos, competência, comunicação e operação.</w:t>
      </w:r>
    </w:p>
    <w:p>
      <w:pPr>
        <w:pStyle w:val="BodyText"/>
        <w:numPr>
          <w:ilvl w:val="0"/>
          <w:numId w:val="5"/>
        </w:numPr>
        <w:bidi w:val="0"/>
        <w:spacing w:before="0" w:after="0"/>
        <w:rPr/>
      </w:pPr>
      <w:r>
        <w:rPr/>
        <w:t>Implemente controles do Anexo A e controles adicionais conforme o risco; colete evidências durante a operação real.</w:t>
      </w:r>
    </w:p>
    <w:p>
      <w:pPr>
        <w:pStyle w:val="BodyText"/>
        <w:numPr>
          <w:ilvl w:val="0"/>
          <w:numId w:val="5"/>
        </w:numPr>
        <w:bidi w:val="0"/>
        <w:spacing w:before="0" w:after="0"/>
        <w:rPr/>
      </w:pPr>
      <w:r>
        <w:rPr/>
        <w:t>Meça o desempenho; conclua auditoria interna e análise crítica pela direção; corrija não conformidades e verifique eficácia.</w:t>
      </w:r>
    </w:p>
    <w:p>
      <w:pPr>
        <w:pStyle w:val="BodyText"/>
        <w:numPr>
          <w:ilvl w:val="0"/>
          <w:numId w:val="5"/>
        </w:numPr>
        <w:bidi w:val="0"/>
        <w:spacing w:before="0" w:after="0"/>
        <w:rPr/>
      </w:pPr>
      <w:r>
        <w:rPr/>
        <w:t>Selecione um organismo de certificação competente; conclua Estágio 1 e Estágio 2; mantenha supervisão e melhoria.</w:t>
      </w:r>
    </w:p>
    <w:p>
      <w:pPr>
        <w:pStyle w:val="Heading1"/>
        <w:tabs>
          <w:tab w:val="clear" w:pos="709"/>
          <w:tab w:val="left" w:pos="0" w:leader="none"/>
        </w:tabs>
        <w:bidi w:val="0"/>
        <w:ind w:hanging="0" w:start="0"/>
        <w:jc w:val="left"/>
        <w:rPr/>
        <w:keepNext/>
      </w:pPr>
      <w:bookmarkStart w:id="10" w:name="cláusula-4-contexto-da-organização"/>
      <w:r>
        <w:rPr/>
        <w:t>4. Cláusula 4: Contexto da organização</w:t>
      </w:r>
      <w:bookmarkEnd w:id="10"/>
    </w:p>
    <w:p>
      <w:pPr>
        <w:pStyle w:val="Firstparagraph"/>
        <w:bidi w:val="0"/>
        <w:rPr>
          <w:i/>
          <w:iCs/>
        </w:rPr>
      </w:pPr>
      <w:r>
        <w:rPr>
          <w:i/>
          <w:iCs/>
        </w:rPr>
        <w:t>A Cláusula 4 estabelece por que o SGIA existe, quem importa, o que ele abrange e como seus processos interagem.</w:t>
      </w:r>
    </w:p>
    <w:p>
      <w:pPr>
        <w:pStyle w:val="Heading2"/>
        <w:tabs>
          <w:tab w:val="clear" w:pos="709"/>
          <w:tab w:val="left" w:pos="0" w:leader="none"/>
        </w:tabs>
        <w:bidi w:val="0"/>
        <w:ind w:hanging="0" w:start="0"/>
        <w:jc w:val="left"/>
        <w:rPr/>
        <w:keepNext/>
      </w:pPr>
      <w:bookmarkStart w:id="11" w:name="questões-internas-e-externas"/>
      <w:r>
        <w:rPr/>
        <w:t>4.1 Questões internas e externas</w:t>
      </w:r>
      <w:bookmarkEnd w:id="11"/>
    </w:p>
    <w:p>
      <w:pPr>
        <w:pStyle w:val="BodyText"/>
        <w:numPr>
          <w:ilvl w:val="0"/>
          <w:numId w:val="6"/>
        </w:numPr>
        <w:bidi w:val="0"/>
        <w:spacing w:before="0" w:after="0"/>
        <w:rPr/>
      </w:pPr>
      <w:r>
        <w:rPr/>
        <w:t>Estratégia, cultura, governança, apetite a risco, recursos, competência, maturidade de dados, arquitetura tecnológica, sistemas de gestão existentes e mudança organizacional.</w:t>
      </w:r>
    </w:p>
    <w:p>
      <w:pPr>
        <w:pStyle w:val="BodyText"/>
        <w:numPr>
          <w:ilvl w:val="0"/>
          <w:numId w:val="6"/>
        </w:numPr>
        <w:bidi w:val="0"/>
        <w:spacing w:before="0" w:after="0"/>
        <w:rPr/>
      </w:pPr>
      <w:r>
        <w:rPr/>
        <w:t>Lei, regulamentação, expectativas setoriais, contratos, requisitos de clientes, normas, confiança pública, preocupações sociais, mercados, fornecedores, ameaças, mudança de tecnologia/modelo e questões climáticas quando relevantes aos resultados pretendidos do SGIA.</w:t>
      </w:r>
    </w:p>
    <w:p>
      <w:pPr>
        <w:pStyle w:val="BodyText"/>
        <w:numPr>
          <w:ilvl w:val="0"/>
          <w:numId w:val="6"/>
        </w:numPr>
        <w:bidi w:val="0"/>
        <w:spacing w:before="0" w:after="0"/>
        <w:rPr/>
      </w:pPr>
      <w:r>
        <w:rPr/>
        <w:t>Registre por que cada questão é relevante, responsável, efeito sobre o SGIA, resposta e gatilho de revisão.</w:t>
      </w:r>
    </w:p>
    <w:p>
      <w:pPr>
        <w:pStyle w:val="Heading2"/>
        <w:tabs>
          <w:tab w:val="clear" w:pos="709"/>
          <w:tab w:val="left" w:pos="0" w:leader="none"/>
        </w:tabs>
        <w:bidi w:val="0"/>
        <w:ind w:hanging="0" w:start="0"/>
        <w:jc w:val="left"/>
        <w:rPr/>
        <w:keepNext/>
      </w:pPr>
      <w:bookmarkStart w:id="12" w:name="partes-interessadas-e-requisitos"/>
      <w:r>
        <w:rPr/>
        <w:t>4.2 Partes interessadas e requisitos</w:t>
      </w:r>
      <w:bookmarkEnd w:id="12"/>
    </w:p>
    <w:p>
      <w:pPr>
        <w:pStyle w:val="BodyText"/>
        <w:numPr>
          <w:ilvl w:val="0"/>
          <w:numId w:val="7"/>
        </w:numPr>
        <w:bidi w:val="0"/>
        <w:spacing w:before="0" w:after="0"/>
        <w:rPr/>
      </w:pPr>
      <w:r>
        <w:rPr/>
        <w:t>Identifique pessoas e grupos afetados pela IA, mesmo que não sejam usuários ou clientes diretos.</w:t>
      </w:r>
    </w:p>
    <w:p>
      <w:pPr>
        <w:pStyle w:val="BodyText"/>
        <w:numPr>
          <w:ilvl w:val="0"/>
          <w:numId w:val="7"/>
        </w:numPr>
        <w:bidi w:val="0"/>
        <w:spacing w:before="0" w:after="0"/>
        <w:rPr/>
      </w:pPr>
      <w:r>
        <w:rPr/>
        <w:t>Inclua reguladores, clientes, trabalhadores, usuários, titulares de dados, fornecedores, parceiros, comunidades, acionistas, auditores, seguradoras e público, conforme relevante.</w:t>
      </w:r>
    </w:p>
    <w:p>
      <w:pPr>
        <w:pStyle w:val="BodyText"/>
        <w:numPr>
          <w:ilvl w:val="0"/>
          <w:numId w:val="7"/>
        </w:numPr>
        <w:bidi w:val="0"/>
        <w:spacing w:before="0" w:after="0"/>
        <w:rPr/>
      </w:pPr>
      <w:r>
        <w:rPr/>
        <w:t>Separe necessidades e expectativas de obrigações vinculantes de conformidade; registre autoridade/fonte, sistema/processo, responsável, evidência e monitoramento de mudanças.</w:t>
      </w:r>
    </w:p>
    <w:p>
      <w:pPr>
        <w:pStyle w:val="BodyText"/>
        <w:numPr>
          <w:ilvl w:val="0"/>
          <w:numId w:val="7"/>
        </w:numPr>
        <w:bidi w:val="0"/>
        <w:spacing w:before="0" w:after="0"/>
        <w:rPr/>
      </w:pPr>
      <w:r>
        <w:rPr/>
        <w:t>Determine quais requisitos a organização abordará por meio do SGIA.</w:t>
      </w:r>
    </w:p>
    <w:p>
      <w:pPr>
        <w:pStyle w:val="Heading2"/>
        <w:tabs>
          <w:tab w:val="clear" w:pos="709"/>
          <w:tab w:val="left" w:pos="0" w:leader="none"/>
        </w:tabs>
        <w:bidi w:val="0"/>
        <w:ind w:hanging="0" w:start="0"/>
        <w:jc w:val="left"/>
        <w:rPr/>
        <w:keepNext/>
      </w:pPr>
      <w:bookmarkStart w:id="13" w:name="declaração-de-escopo"/>
      <w:r>
        <w:rPr/>
        <w:t>4.3 Declaração de escopo</w:t>
      </w:r>
      <w:bookmarkEnd w:id="13"/>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Elemento do escopo</w:t>
            </w:r>
          </w:p>
        </w:tc>
        <w:tc>
          <w:tcPr>
            <w:tcW w:w="4680" w:type="dxa"/>
            <w:tcBorders/>
            <w:vAlign w:val="center"/>
            <w:shd w:fill="1F4E78"/>
          </w:tcPr>
          <w:p>
            <w:pPr>
              <w:pStyle w:val="TableHeading"/>
              <w:bidi w:val="0"/>
              <w:spacing w:before="0" w:after="40"/>
              <w:rPr>
                <w:b/>
                <w:bCs/>
              </w:rPr>
            </w:pPr>
            <w:r>
              <w:rPr>
                <w:b/>
                <w:bCs/>
                <w:sz w:val="19"/>
                <w:color w:val="FFFFFF"/>
              </w:rPr>
              <w:t>Clareza necessária</w:t>
            </w:r>
          </w:p>
        </w:tc>
      </w:tr>
      <w:tr>
        <w:trPr>
          <w:cantSplit/>
        </w:trPr>
        <w:tc>
          <w:tcPr>
            <w:tcW w:w="4680" w:type="dxa"/>
            <w:tcBorders/>
            <w:vAlign w:val="center"/>
          </w:tcPr>
          <w:p>
            <w:pPr>
              <w:pStyle w:val="TableContents"/>
              <w:suppressLineNumbers/>
              <w:bidi w:val="0"/>
              <w:spacing w:before="0" w:after="40"/>
              <w:ind w:hanging="0" w:start="43" w:end="43"/>
              <w:rPr/>
            </w:pPr>
            <w:r>
              <w:rPr>
                <w:sz w:val="19"/>
              </w:rPr>
              <w:t>Organização</w:t>
            </w:r>
          </w:p>
        </w:tc>
        <w:tc>
          <w:tcPr>
            <w:tcW w:w="4680" w:type="dxa"/>
            <w:tcBorders/>
            <w:vAlign w:val="center"/>
          </w:tcPr>
          <w:p>
            <w:pPr>
              <w:pStyle w:val="TableContents"/>
              <w:suppressLineNumbers/>
              <w:bidi w:val="0"/>
              <w:spacing w:before="0" w:after="40"/>
              <w:ind w:hanging="0" w:start="43" w:end="43"/>
              <w:rPr/>
            </w:pPr>
            <w:r>
              <w:rPr>
                <w:sz w:val="19"/>
              </w:rPr>
              <w:t>Entidades legais, unidades de negócio, locais e funções</w:t>
            </w:r>
          </w:p>
        </w:tc>
      </w:tr>
      <w:tr>
        <w:trPr>
          <w:cantSplit/>
        </w:trPr>
        <w:tc>
          <w:tcPr>
            <w:tcW w:w="4680" w:type="dxa"/>
            <w:tcBorders/>
            <w:vAlign w:val="center"/>
          </w:tcPr>
          <w:p>
            <w:pPr>
              <w:pStyle w:val="TableContents"/>
              <w:suppressLineNumbers/>
              <w:bidi w:val="0"/>
              <w:spacing w:before="0" w:after="40"/>
              <w:ind w:hanging="0" w:start="43" w:end="43"/>
              <w:rPr/>
            </w:pPr>
            <w:r>
              <w:rPr>
                <w:sz w:val="19"/>
              </w:rPr>
              <w:t>Papel de IA</w:t>
            </w:r>
          </w:p>
        </w:tc>
        <w:tc>
          <w:tcPr>
            <w:tcW w:w="4680" w:type="dxa"/>
            <w:tcBorders/>
            <w:vAlign w:val="center"/>
          </w:tcPr>
          <w:p>
            <w:pPr>
              <w:pStyle w:val="TableContents"/>
              <w:suppressLineNumbers/>
              <w:bidi w:val="0"/>
              <w:spacing w:before="0" w:after="40"/>
              <w:ind w:hanging="0" w:start="43" w:end="43"/>
              <w:rPr/>
            </w:pPr>
            <w:r>
              <w:rPr>
                <w:sz w:val="19"/>
              </w:rPr>
              <w:t>Desenvolvedor/fornecedor, implantador/usuário, serviço/fornecedor ou combinação</w:t>
            </w:r>
          </w:p>
        </w:tc>
      </w:tr>
      <w:tr>
        <w:trPr>
          <w:cantSplit/>
        </w:trPr>
        <w:tc>
          <w:tcPr>
            <w:tcW w:w="4680" w:type="dxa"/>
            <w:tcBorders/>
            <w:vAlign w:val="center"/>
          </w:tcPr>
          <w:p>
            <w:pPr>
              <w:pStyle w:val="TableContents"/>
              <w:suppressLineNumbers/>
              <w:bidi w:val="0"/>
              <w:spacing w:before="0" w:after="40"/>
              <w:ind w:hanging="0" w:start="43" w:end="43"/>
              <w:rPr/>
            </w:pPr>
            <w:r>
              <w:rPr>
                <w:sz w:val="19"/>
              </w:rPr>
              <w:t>Produtos/serviços/processos</w:t>
            </w:r>
          </w:p>
        </w:tc>
        <w:tc>
          <w:tcPr>
            <w:tcW w:w="4680" w:type="dxa"/>
            <w:tcBorders/>
            <w:vAlign w:val="center"/>
          </w:tcPr>
          <w:p>
            <w:pPr>
              <w:pStyle w:val="TableContents"/>
              <w:suppressLineNumbers/>
              <w:bidi w:val="0"/>
              <w:spacing w:before="0" w:after="40"/>
              <w:ind w:hanging="0" w:start="43" w:end="43"/>
              <w:rPr/>
            </w:pPr>
            <w:r>
              <w:rPr>
                <w:sz w:val="19"/>
              </w:rPr>
              <w:t>Ofertas habilitadas por IA e usos internos</w:t>
            </w:r>
          </w:p>
        </w:tc>
      </w:tr>
      <w:tr>
        <w:trPr>
          <w:cantSplit/>
        </w:trPr>
        <w:tc>
          <w:tcPr>
            <w:tcW w:w="4680" w:type="dxa"/>
            <w:tcBorders/>
            <w:vAlign w:val="center"/>
          </w:tcPr>
          <w:p>
            <w:pPr>
              <w:pStyle w:val="TableContents"/>
              <w:suppressLineNumbers/>
              <w:bidi w:val="0"/>
              <w:spacing w:before="0" w:after="40"/>
              <w:ind w:hanging="0" w:start="43" w:end="43"/>
              <w:rPr/>
            </w:pPr>
            <w:r>
              <w:rPr>
                <w:sz w:val="19"/>
              </w:rPr>
              <w:t>Tecnologia e dados</w:t>
            </w:r>
          </w:p>
        </w:tc>
        <w:tc>
          <w:tcPr>
            <w:tcW w:w="4680" w:type="dxa"/>
            <w:tcBorders/>
            <w:vAlign w:val="center"/>
          </w:tcPr>
          <w:p>
            <w:pPr>
              <w:pStyle w:val="TableContents"/>
              <w:suppressLineNumbers/>
              <w:bidi w:val="0"/>
              <w:spacing w:before="0" w:after="40"/>
              <w:ind w:hanging="0" w:start="43" w:end="43"/>
              <w:rPr/>
            </w:pPr>
            <w:r>
              <w:rPr>
                <w:sz w:val="19"/>
              </w:rPr>
              <w:t>Sistemas, modelos, ambientes, interfaces e conjuntos de dados principais</w:t>
            </w:r>
          </w:p>
        </w:tc>
      </w:tr>
      <w:tr>
        <w:trPr>
          <w:cantSplit/>
        </w:trPr>
        <w:tc>
          <w:tcPr>
            <w:tcW w:w="4680" w:type="dxa"/>
            <w:tcBorders/>
            <w:vAlign w:val="center"/>
          </w:tcPr>
          <w:p>
            <w:pPr>
              <w:pStyle w:val="TableContents"/>
              <w:suppressLineNumbers/>
              <w:bidi w:val="0"/>
              <w:spacing w:before="0" w:after="40"/>
              <w:ind w:hanging="0" w:start="43" w:end="43"/>
              <w:rPr/>
            </w:pPr>
            <w:r>
              <w:rPr>
                <w:sz w:val="19"/>
              </w:rPr>
              <w:t>Limites/dependências</w:t>
            </w:r>
          </w:p>
        </w:tc>
        <w:tc>
          <w:tcPr>
            <w:tcW w:w="4680" w:type="dxa"/>
            <w:tcBorders/>
            <w:vAlign w:val="center"/>
          </w:tcPr>
          <w:p>
            <w:pPr>
              <w:pStyle w:val="TableContents"/>
              <w:suppressLineNumbers/>
              <w:bidi w:val="0"/>
              <w:spacing w:before="0" w:after="40"/>
              <w:ind w:hanging="0" w:start="43" w:end="43"/>
              <w:rPr/>
            </w:pPr>
            <w:r>
              <w:rPr>
                <w:sz w:val="19"/>
              </w:rPr>
              <w:t>Serviços compartilhados, fornecedores, clientes e exclusões</w:t>
            </w:r>
          </w:p>
        </w:tc>
      </w:tr>
      <w:tr>
        <w:trPr>
          <w:cantSplit/>
        </w:trPr>
        <w:tc>
          <w:tcPr>
            <w:tcW w:w="4680" w:type="dxa"/>
            <w:tcBorders/>
            <w:vAlign w:val="center"/>
          </w:tcPr>
          <w:p>
            <w:pPr>
              <w:pStyle w:val="TableContents"/>
              <w:suppressLineNumbers/>
              <w:bidi w:val="0"/>
              <w:spacing w:before="0" w:after="40"/>
              <w:ind w:hanging="0" w:start="43" w:end="43"/>
              <w:rPr/>
            </w:pPr>
            <w:r>
              <w:rPr>
                <w:sz w:val="19"/>
              </w:rPr>
              <w:t>Justificativa</w:t>
            </w:r>
          </w:p>
        </w:tc>
        <w:tc>
          <w:tcPr>
            <w:tcW w:w="4680" w:type="dxa"/>
            <w:tcBorders/>
            <w:vAlign w:val="center"/>
          </w:tcPr>
          <w:p>
            <w:pPr>
              <w:pStyle w:val="TableContents"/>
              <w:suppressLineNumbers/>
              <w:bidi w:val="0"/>
              <w:spacing w:before="0" w:after="40"/>
              <w:ind w:hanging="0" w:start="43" w:end="43"/>
              <w:rPr/>
            </w:pPr>
            <w:r>
              <w:rPr>
                <w:sz w:val="19"/>
              </w:rPr>
              <w:t>Por que os limites são válidos e não evitam requisitos aplicáveis</w:t>
            </w:r>
          </w:p>
        </w:tc>
      </w:tr>
    </w:tbl>
    <w:p>
      <w:pPr>
        <w:pStyle w:val="Heading2"/>
        <w:tabs>
          <w:tab w:val="clear" w:pos="709"/>
          <w:tab w:val="left" w:pos="0" w:leader="none"/>
        </w:tabs>
        <w:bidi w:val="0"/>
        <w:ind w:hanging="0" w:start="0"/>
        <w:jc w:val="left"/>
        <w:rPr/>
        <w:keepNext/>
      </w:pPr>
      <w:bookmarkStart w:id="14" w:name="processos-do-sgia"/>
      <w:r>
        <w:rPr/>
        <w:t>4.4 Processos do SGIA</w:t>
      </w:r>
      <w:bookmarkEnd w:id="14"/>
    </w:p>
    <w:p>
      <w:pPr>
        <w:pStyle w:val="BodyText"/>
        <w:numPr>
          <w:ilvl w:val="0"/>
          <w:numId w:val="8"/>
        </w:numPr>
        <w:bidi w:val="0"/>
        <w:spacing w:before="0" w:after="0"/>
        <w:rPr/>
      </w:pPr>
      <w:r>
        <w:rPr/>
        <w:t>Defina finalidade do processo, entradas, saídas, sequência, interação, proprietário, critérios, controles, recursos, registros, medidas, riscos e melhoria.</w:t>
      </w:r>
    </w:p>
    <w:p>
      <w:pPr>
        <w:pStyle w:val="BodyText"/>
        <w:numPr>
          <w:ilvl w:val="0"/>
          <w:numId w:val="8"/>
        </w:numPr>
        <w:bidi w:val="0"/>
        <w:spacing w:before="0" w:after="0"/>
        <w:rPr/>
      </w:pPr>
      <w:r>
        <w:rPr/>
        <w:t>Um mapa de processos deve conectar inventário, risco, impacto, tratamento, objetivos, ciclo de vida, dados, fornecedores, uso, monitoramento, incidentes, auditoria, análise crítica e ação corretiva.</w:t>
      </w:r>
    </w:p>
    <w:p>
      <w:pPr>
        <w:pStyle w:val="Heading1"/>
        <w:tabs>
          <w:tab w:val="clear" w:pos="709"/>
          <w:tab w:val="left" w:pos="0" w:leader="none"/>
        </w:tabs>
        <w:bidi w:val="0"/>
        <w:ind w:hanging="0" w:start="0"/>
        <w:jc w:val="left"/>
        <w:rPr/>
        <w:keepNext/>
      </w:pPr>
      <w:bookmarkStart w:id="15" w:name="cláusula-5-liderança"/>
      <w:r>
        <w:rPr/>
        <w:t>5. Cláusula 5: Liderança</w:t>
      </w:r>
      <w:bookmarkEnd w:id="15"/>
    </w:p>
    <w:p>
      <w:pPr>
        <w:pStyle w:val="Firstparagraph"/>
        <w:bidi w:val="0"/>
        <w:rPr>
          <w:i/>
          <w:iCs/>
        </w:rPr>
      </w:pPr>
      <w:r>
        <w:rPr>
          <w:i/>
          <w:iCs/>
        </w:rPr>
        <w:t>A alta direção deve assumir o SGIA, a política, a integração, os recursos, a comunicação, o desempenho e os papéis responsáveis.</w:t>
      </w:r>
    </w:p>
    <w:p>
      <w:pPr>
        <w:pStyle w:val="Heading2"/>
        <w:tabs>
          <w:tab w:val="clear" w:pos="709"/>
          <w:tab w:val="left" w:pos="0" w:leader="none"/>
        </w:tabs>
        <w:bidi w:val="0"/>
        <w:ind w:hanging="0" w:start="0"/>
        <w:jc w:val="left"/>
        <w:rPr/>
        <w:keepNext/>
      </w:pPr>
      <w:bookmarkStart w:id="16" w:name="demonstração-de-liderança"/>
      <w:r>
        <w:rPr/>
        <w:t>5.1 Demonstração de liderança</w:t>
      </w:r>
      <w:bookmarkEnd w:id="16"/>
    </w:p>
    <w:p>
      <w:pPr>
        <w:pStyle w:val="BodyText"/>
        <w:numPr>
          <w:ilvl w:val="0"/>
          <w:numId w:val="9"/>
        </w:numPr>
        <w:bidi w:val="0"/>
        <w:spacing w:before="0" w:after="0"/>
        <w:rPr/>
      </w:pPr>
      <w:r>
        <w:rPr/>
        <w:t>Torne os objetivos do SGIA compatíveis com a estratégia e os compromissos de IA responsável.</w:t>
      </w:r>
    </w:p>
    <w:p>
      <w:pPr>
        <w:pStyle w:val="BodyText"/>
        <w:numPr>
          <w:ilvl w:val="0"/>
          <w:numId w:val="9"/>
        </w:numPr>
        <w:bidi w:val="0"/>
        <w:spacing w:before="0" w:after="0"/>
        <w:rPr/>
      </w:pPr>
      <w:r>
        <w:rPr/>
        <w:t>Integre requisitos do SGIA aos processos de negócio, produto, compras, dados, tecnologia, pessoas, risco e mudança.</w:t>
      </w:r>
    </w:p>
    <w:p>
      <w:pPr>
        <w:pStyle w:val="BodyText"/>
        <w:numPr>
          <w:ilvl w:val="0"/>
          <w:numId w:val="9"/>
        </w:numPr>
        <w:bidi w:val="0"/>
        <w:spacing w:before="0" w:after="0"/>
        <w:rPr/>
      </w:pPr>
      <w:r>
        <w:rPr/>
        <w:t>Forneça pessoas competentes, tempo, ferramentas, dados, infraestrutura, orçamento, contestação independente e autoridade.</w:t>
      </w:r>
    </w:p>
    <w:p>
      <w:pPr>
        <w:pStyle w:val="BodyText"/>
        <w:numPr>
          <w:ilvl w:val="0"/>
          <w:numId w:val="9"/>
        </w:numPr>
        <w:bidi w:val="0"/>
        <w:spacing w:before="0" w:after="0"/>
        <w:rPr/>
      </w:pPr>
      <w:r>
        <w:rPr/>
        <w:t>Comunique que a gestão eficaz de IA e a conformidade importam, inclusive quando a pressão por entrega conflita com controles.</w:t>
      </w:r>
    </w:p>
    <w:p>
      <w:pPr>
        <w:pStyle w:val="BodyText"/>
        <w:numPr>
          <w:ilvl w:val="0"/>
          <w:numId w:val="9"/>
        </w:numPr>
        <w:bidi w:val="0"/>
        <w:spacing w:before="0" w:after="0"/>
        <w:rPr/>
      </w:pPr>
      <w:r>
        <w:rPr/>
        <w:t>Analise o desempenho e apoie pessoas que contribuem para melhoria ou levantam preocupações.</w:t>
      </w:r>
    </w:p>
    <w:p>
      <w:pPr>
        <w:pStyle w:val="BodyText"/>
        <w:numPr>
          <w:ilvl w:val="0"/>
          <w:numId w:val="9"/>
        </w:numPr>
        <w:bidi w:val="0"/>
        <w:spacing w:before="0" w:after="0"/>
        <w:rPr/>
      </w:pPr>
      <w:r>
        <w:rPr/>
        <w:t>Assegure que os resultados pretendidos sejam alcançados, em vez de tratar certificação como único resultado.</w:t>
      </w:r>
    </w:p>
    <w:p>
      <w:pPr>
        <w:pStyle w:val="Heading2"/>
        <w:tabs>
          <w:tab w:val="clear" w:pos="709"/>
          <w:tab w:val="left" w:pos="0" w:leader="none"/>
        </w:tabs>
        <w:bidi w:val="0"/>
        <w:ind w:hanging="0" w:start="0"/>
        <w:jc w:val="left"/>
        <w:rPr/>
        <w:keepNext/>
      </w:pPr>
      <w:bookmarkStart w:id="17" w:name="política-de-ia"/>
      <w:r>
        <w:rPr/>
        <w:t>5.2 Política de IA</w:t>
      </w:r>
      <w:bookmarkEnd w:id="17"/>
    </w:p>
    <w:p>
      <w:pPr>
        <w:pStyle w:val="BodyText"/>
        <w:numPr>
          <w:ilvl w:val="0"/>
          <w:numId w:val="10"/>
        </w:numPr>
        <w:bidi w:val="0"/>
        <w:spacing w:before="0" w:after="0"/>
        <w:rPr/>
      </w:pPr>
      <w:r>
        <w:rPr/>
        <w:t>Declare finalidade, princípios, compromissos com requisitos aplicáveis, IA responsável baseada em riscos, objetivos e melhoria contínua.</w:t>
      </w:r>
    </w:p>
    <w:p>
      <w:pPr>
        <w:pStyle w:val="BodyText"/>
        <w:numPr>
          <w:ilvl w:val="0"/>
          <w:numId w:val="10"/>
        </w:numPr>
        <w:bidi w:val="0"/>
        <w:spacing w:before="0" w:after="0"/>
        <w:rPr/>
      </w:pPr>
      <w:r>
        <w:rPr/>
        <w:t>Adeque a política aos papéis de IA, contexto, cultura, impacto, lei, produtos e apetite a risco da organização.</w:t>
      </w:r>
    </w:p>
    <w:p>
      <w:pPr>
        <w:pStyle w:val="BodyText"/>
        <w:numPr>
          <w:ilvl w:val="0"/>
          <w:numId w:val="10"/>
        </w:numPr>
        <w:bidi w:val="0"/>
        <w:spacing w:before="0" w:after="0"/>
        <w:rPr/>
      </w:pPr>
      <w:r>
        <w:rPr/>
        <w:t>Alinhe segurança, privacidade, qualidade, dados, ética, RH, compras, produto, registros, segurança funcional e incidentes.</w:t>
      </w:r>
    </w:p>
    <w:p>
      <w:pPr>
        <w:pStyle w:val="BodyText"/>
        <w:numPr>
          <w:ilvl w:val="0"/>
          <w:numId w:val="10"/>
        </w:numPr>
        <w:bidi w:val="0"/>
        <w:spacing w:before="0" w:after="0"/>
        <w:rPr/>
      </w:pPr>
      <w:r>
        <w:rPr/>
        <w:t>Aprove no nível adequado, comunique às pessoas relevantes, disponibilize conforme apropriado e revise em intervalos planejados e após mudanças materiais.</w:t>
      </w:r>
    </w:p>
    <w:p>
      <w:pPr>
        <w:pStyle w:val="Heading2"/>
        <w:tabs>
          <w:tab w:val="clear" w:pos="709"/>
          <w:tab w:val="left" w:pos="0" w:leader="none"/>
        </w:tabs>
        <w:bidi w:val="0"/>
        <w:ind w:hanging="0" w:start="0"/>
        <w:jc w:val="left"/>
        <w:rPr/>
        <w:keepNext/>
      </w:pPr>
      <w:bookmarkStart w:id="18" w:name="papéis-responsabilidades-e-autoridades"/>
      <w:r>
        <w:rPr/>
        <w:t>5.3 Papéis, responsabilidades e autoridades</w:t>
      </w:r>
      <w:bookmarkEnd w:id="18"/>
    </w:p>
    <w:p>
      <w:pPr>
        <w:pStyle w:val="BodyText"/>
        <w:numPr>
          <w:ilvl w:val="0"/>
          <w:numId w:val="11"/>
        </w:numPr>
        <w:bidi w:val="0"/>
        <w:spacing w:before="0" w:after="0"/>
        <w:rPr/>
      </w:pPr>
      <w:r>
        <w:rPr/>
        <w:t>Defina responsabilização pelo SGIA e por reportar desempenho à alta direção.</w:t>
      </w:r>
    </w:p>
    <w:p>
      <w:pPr>
        <w:pStyle w:val="BodyText"/>
        <w:numPr>
          <w:ilvl w:val="0"/>
          <w:numId w:val="11"/>
        </w:numPr>
        <w:bidi w:val="0"/>
        <w:spacing w:before="0" w:after="0"/>
        <w:rPr/>
      </w:pPr>
      <w:r>
        <w:rPr/>
        <w:t>Atribua proprietários para cada sistema de IA, risco, impacto, fonte de dados, modelo, fornecedor, controle, métrica, incidente, mudança e ação corretiva.</w:t>
      </w:r>
    </w:p>
    <w:p>
      <w:pPr>
        <w:pStyle w:val="BodyText"/>
        <w:numPr>
          <w:ilvl w:val="0"/>
          <w:numId w:val="11"/>
        </w:numPr>
        <w:bidi w:val="0"/>
        <w:spacing w:before="0" w:after="0"/>
        <w:rPr/>
      </w:pPr>
      <w:r>
        <w:rPr/>
        <w:t>Defina autoridade de aprovação e escalonamento; evite conflitos em que a mesma equipe cria, valida, aceita e audita risco de alto impacto sem contestação adequada.</w:t>
      </w:r>
    </w:p>
    <w:p>
      <w:pPr>
        <w:pStyle w:val="Heading1"/>
        <w:tabs>
          <w:tab w:val="clear" w:pos="709"/>
          <w:tab w:val="left" w:pos="0" w:leader="none"/>
        </w:tabs>
        <w:bidi w:val="0"/>
        <w:ind w:hanging="0" w:start="0"/>
        <w:jc w:val="left"/>
        <w:rPr/>
        <w:keepNext/>
      </w:pPr>
      <w:bookmarkStart w:id="19" w:name="cláusula-6.1-ações-para-abordar-riscos-e"/>
      <w:r>
        <w:rPr/>
        <w:t>6. Cláusula 6.1: Ações para abordar riscos e oportunidades</w:t>
      </w:r>
      <w:bookmarkEnd w:id="19"/>
    </w:p>
    <w:p>
      <w:pPr>
        <w:pStyle w:val="Firstparagraph"/>
        <w:bidi w:val="0"/>
        <w:rPr>
          <w:i/>
          <w:iCs/>
        </w:rPr>
      </w:pPr>
      <w:r>
        <w:rPr>
          <w:i/>
          <w:iCs/>
        </w:rPr>
        <w:t>O planejamento transforma contexto em riscos, oportunidades, controles, objetivos e mudanças gerenciadas.</w:t>
      </w:r>
    </w:p>
    <w:p>
      <w:pPr>
        <w:pStyle w:val="Heading2"/>
        <w:tabs>
          <w:tab w:val="clear" w:pos="709"/>
          <w:tab w:val="left" w:pos="0" w:leader="none"/>
        </w:tabs>
        <w:bidi w:val="0"/>
        <w:ind w:hanging="0" w:start="0"/>
        <w:jc w:val="left"/>
        <w:rPr/>
        <w:keepNext/>
      </w:pPr>
      <w:bookmarkStart w:id="20" w:name="entradas-de-planejamento"/>
      <w:r>
        <w:rPr/>
        <w:t>6.1 Entradas de planejamento</w:t>
      </w:r>
      <w:bookmarkEnd w:id="20"/>
    </w:p>
    <w:p>
      <w:pPr>
        <w:pStyle w:val="BodyText"/>
        <w:numPr>
          <w:ilvl w:val="0"/>
          <w:numId w:val="12"/>
        </w:numPr>
        <w:bidi w:val="0"/>
        <w:spacing w:before="0" w:after="0"/>
        <w:rPr/>
      </w:pPr>
      <w:r>
        <w:rPr/>
        <w:t>Contexto e requisitos de partes interessadas; escopo e processos do SGIA.</w:t>
      </w:r>
    </w:p>
    <w:p>
      <w:pPr>
        <w:pStyle w:val="BodyText"/>
        <w:numPr>
          <w:ilvl w:val="0"/>
          <w:numId w:val="12"/>
        </w:numPr>
        <w:bidi w:val="0"/>
        <w:spacing w:before="0" w:after="0"/>
        <w:rPr/>
      </w:pPr>
      <w:r>
        <w:rPr/>
        <w:t>Inventário de IA, papéis do sistema, etapa do ciclo de vida, pessoas afetadas, dados, modelos, fornecedores, integrações e condições de uso.</w:t>
      </w:r>
    </w:p>
    <w:p>
      <w:pPr>
        <w:pStyle w:val="BodyText"/>
        <w:numPr>
          <w:ilvl w:val="0"/>
          <w:numId w:val="12"/>
        </w:numPr>
        <w:bidi w:val="0"/>
        <w:spacing w:before="0" w:after="0"/>
        <w:rPr/>
      </w:pPr>
      <w:r>
        <w:rPr/>
        <w:t>Benefícios e oportunidades estratégicas, juntamente com ameaças, falhas, danos, incerteza e uso indevido razoavelmente previsível.</w:t>
      </w:r>
    </w:p>
    <w:p>
      <w:pPr>
        <w:pStyle w:val="BodyText"/>
        <w:numPr>
          <w:ilvl w:val="0"/>
          <w:numId w:val="12"/>
        </w:numPr>
        <w:bidi w:val="0"/>
        <w:spacing w:before="0" w:after="0"/>
        <w:rPr/>
      </w:pPr>
      <w:r>
        <w:rPr/>
        <w:t>Obrigações legais, regulatórias, contratuais, de segurança, privacidade, segurança funcional, qualidade, registros, acessibilidade, trabalho, propriedade intelectual, consumidor e setor aplicáveis.</w:t>
      </w:r>
    </w:p>
    <w:p>
      <w:pPr>
        <w:pStyle w:val="Heading2"/>
        <w:tabs>
          <w:tab w:val="clear" w:pos="709"/>
          <w:tab w:val="left" w:pos="0" w:leader="none"/>
        </w:tabs>
        <w:bidi w:val="0"/>
        <w:ind w:hanging="0" w:start="0"/>
        <w:jc w:val="left"/>
        <w:rPr/>
        <w:keepNext/>
      </w:pPr>
      <w:bookmarkStart w:id="21" w:name="ações-sobre-riscos-e-oportunidades"/>
      <w:r>
        <w:rPr/>
        <w:t>6.1.1 Ações sobre riscos e oportunidades</w:t>
      </w:r>
      <w:bookmarkEnd w:id="21"/>
    </w:p>
    <w:p>
      <w:pPr>
        <w:pStyle w:val="BodyText"/>
        <w:numPr>
          <w:ilvl w:val="0"/>
          <w:numId w:val="13"/>
        </w:numPr>
        <w:bidi w:val="0"/>
        <w:spacing w:before="0" w:after="0"/>
        <w:rPr/>
      </w:pPr>
      <w:r>
        <w:rPr/>
        <w:t>Planeje ações proporcionais ao efeito sobre resultados do SGIA; integre-as aos processos em vez de manter apenas um registro separado.</w:t>
      </w:r>
    </w:p>
    <w:p>
      <w:pPr>
        <w:pStyle w:val="BodyText"/>
        <w:numPr>
          <w:ilvl w:val="0"/>
          <w:numId w:val="13"/>
        </w:numPr>
        <w:bidi w:val="0"/>
        <w:spacing w:before="0" w:after="0"/>
        <w:rPr/>
      </w:pPr>
      <w:r>
        <w:rPr/>
        <w:t>Defina ação, proprietário, recurso, data, medida, evidência, dependência, decisão residual e avaliação de eficácia.</w:t>
      </w:r>
    </w:p>
    <w:p>
      <w:pPr>
        <w:pStyle w:val="BodyText"/>
        <w:numPr>
          <w:ilvl w:val="0"/>
          <w:numId w:val="13"/>
        </w:numPr>
        <w:bidi w:val="0"/>
        <w:spacing w:before="0" w:after="0"/>
        <w:rPr/>
      </w:pPr>
      <w:r>
        <w:rPr/>
        <w:t>Oportunidades podem incluir melhor supervisão, qualidade de dados, transparência, avaliação, competência, eficiência, confiança de partes interessadas e inovação.</w:t>
      </w:r>
    </w:p>
    <w:p>
      <w:pPr>
        <w:pStyle w:val="BodyText"/>
        <w:numPr>
          <w:ilvl w:val="0"/>
          <w:numId w:val="13"/>
        </w:numPr>
        <w:bidi w:val="0"/>
        <w:spacing w:before="0" w:after="0"/>
        <w:rPr/>
      </w:pPr>
      <w:r>
        <w:rPr/>
        <w:t>Evite que controles pretendidos criem novos riscos, como monitoramento excessivo, avisos inacessíveis ou sobrecarga de revisão.</w:t>
      </w:r>
    </w:p>
    <w:p>
      <w:pPr>
        <w:pStyle w:val="Heading1"/>
        <w:tabs>
          <w:tab w:val="clear" w:pos="709"/>
          <w:tab w:val="left" w:pos="0" w:leader="none"/>
        </w:tabs>
        <w:bidi w:val="0"/>
        <w:ind w:hanging="0" w:start="0"/>
        <w:jc w:val="left"/>
        <w:rPr/>
        <w:keepNext/>
      </w:pPr>
      <w:bookmarkStart w:id="22" w:name="cláusula-6.1.2-avaliação-de-riscos-de-ia"/>
      <w:r>
        <w:rPr/>
        <w:t>7. Cláusula 6.1.2: Avaliação de riscos de IA</w:t>
      </w:r>
      <w:bookmarkEnd w:id="22"/>
    </w:p>
    <w:p>
      <w:pPr>
        <w:pStyle w:val="Firstparagraph"/>
        <w:bidi w:val="0"/>
        <w:rPr>
          <w:i/>
          <w:iCs/>
        </w:rPr>
      </w:pPr>
      <w:r>
        <w:rPr>
          <w:i/>
          <w:iCs/>
        </w:rPr>
        <w:t>O processo de avaliação de riscos de IA deve usar critérios definidos e repetíveis para identificar, analisar, avaliar e priorizar riscos.</w:t>
      </w:r>
    </w:p>
    <w:p>
      <w:pPr>
        <w:pStyle w:val="FigureWithCaption"/>
        <w:keepNext w:val="true"/>
        <w:suppressLineNumbers/>
        <w:bidi w:val="0"/>
        <w:rPr/>
      </w:pPr>
      <w:r>
        <w:rPr/>
        <w:drawing>
          <wp:inline distT="0" distB="0" distL="0" distR="0">
            <wp:extent cx="5623560" cy="2955925"/>
            <wp:effectExtent l="0" t="0" r="0" b="0"/>
            <wp:docPr id="3" name="Manual 02 Figure 3" title="Figure 3" descr="Registre evidências e incerteza para que diferentes avaliadores possam chegar a conclusões compar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Registre evidências e incerteza para que diferentes avaliadores possam chegar a conclusões comparáveis.</w:t>
      </w:r>
    </w:p>
    <w:p>
      <w:pPr>
        <w:pStyle w:val="Caption"/>
        <w:bidi w:val="0"/>
        <w:spacing w:before="86" w:after="86"/>
        <w:rPr/>
        <w:keepNext/>
      </w:pPr>
      <w:r>
        <w:rPr/>
        <w:t>Figura 3. Fluxo de avaliação de riscos de IA</w:t>
      </w:r>
    </w:p>
    <w:p>
      <w:pPr>
        <w:pStyle w:val="BlockQuotation"/>
        <w:bidi w:val="0"/>
        <w:ind w:hanging="0" w:start="720" w:end="0"/>
        <w:rPr/>
      </w:pPr>
      <w:r>
        <w:rPr>
          <w:b/>
          <w:bCs/>
        </w:rPr>
        <w:t>Explicação acessível:</w:t>
      </w:r>
      <w:r>
        <w:rPr/>
        <w:t xml:space="preserve"> A avaliação parte de um cenário de risco definido, analisa contexto, probabilidade, consequências, incerteza e controles existentes, compara o resultado com critérios estabelecidos, seleciona tratamento e preserva evidências para decisão residual autorizada e futura reavaliação.</w:t>
      </w:r>
    </w:p>
    <w:p>
      <w:pPr>
        <w:pStyle w:val="Heading2"/>
        <w:tabs>
          <w:tab w:val="clear" w:pos="709"/>
          <w:tab w:val="left" w:pos="0" w:leader="none"/>
        </w:tabs>
        <w:bidi w:val="0"/>
        <w:ind w:hanging="0" w:start="0"/>
        <w:jc w:val="left"/>
        <w:rPr/>
        <w:keepNext/>
      </w:pPr>
      <w:bookmarkStart w:id="23" w:name="método-de-risco"/>
      <w:r>
        <w:rPr/>
        <w:t>7.1 Método de risco</w:t>
      </w:r>
      <w:bookmarkEnd w:id="23"/>
    </w:p>
    <w:p>
      <w:pPr>
        <w:pStyle w:val="BodyText"/>
        <w:numPr>
          <w:ilvl w:val="0"/>
          <w:numId w:val="14"/>
        </w:numPr>
        <w:bidi w:val="0"/>
        <w:spacing w:before="0" w:after="0"/>
        <w:rPr/>
      </w:pPr>
      <w:r>
        <w:rPr/>
        <w:t>Defina escopo, unidade de análise, categorias de risco, dimensões de impacto, probabilidade, gravidade, escala, duração, reversibilidade, grupos afetados, incerteza, agregação, tolerância e autoridade de decisão.</w:t>
      </w:r>
    </w:p>
    <w:p>
      <w:pPr>
        <w:pStyle w:val="BodyText"/>
        <w:numPr>
          <w:ilvl w:val="0"/>
          <w:numId w:val="14"/>
        </w:numPr>
        <w:bidi w:val="0"/>
        <w:spacing w:before="0" w:after="0"/>
        <w:rPr/>
      </w:pPr>
      <w:r>
        <w:rPr/>
        <w:t>Identifique cenários de risco em uso pretendido, uso indevido previsível, falha, ataque, dados, modelo, comportamento humano, fornecedores, ambiente, lei e efeito social.</w:t>
      </w:r>
    </w:p>
    <w:p>
      <w:pPr>
        <w:pStyle w:val="BodyText"/>
        <w:numPr>
          <w:ilvl w:val="0"/>
          <w:numId w:val="14"/>
        </w:numPr>
        <w:bidi w:val="0"/>
        <w:spacing w:before="0" w:after="0"/>
        <w:rPr/>
      </w:pPr>
      <w:r>
        <w:rPr/>
        <w:t>Analise risco inerente e controles existentes com evidências; diferencie risco atual, alvo e residual.</w:t>
      </w:r>
    </w:p>
    <w:p>
      <w:pPr>
        <w:pStyle w:val="BodyText"/>
        <w:numPr>
          <w:ilvl w:val="0"/>
          <w:numId w:val="14"/>
        </w:numPr>
        <w:bidi w:val="0"/>
        <w:spacing w:before="0" w:after="0"/>
        <w:rPr/>
      </w:pPr>
      <w:r>
        <w:rPr/>
        <w:t>Avalie em relação aos critérios; priorize tratamento segundo consequências para pessoas e negócio, não por uma única pontuação técnica.</w:t>
      </w:r>
    </w:p>
    <w:p>
      <w:pPr>
        <w:pStyle w:val="BodyText"/>
        <w:numPr>
          <w:ilvl w:val="0"/>
          <w:numId w:val="14"/>
        </w:numPr>
        <w:bidi w:val="0"/>
        <w:spacing w:before="0" w:after="0"/>
        <w:rPr/>
      </w:pPr>
      <w:r>
        <w:rPr/>
        <w:t>Assegure resultados consistentes, válidos e comparáveis e preserve a avaliação como informação documentada.</w:t>
      </w:r>
    </w:p>
    <w:p>
      <w:pPr>
        <w:pStyle w:val="BodyText"/>
        <w:numPr>
          <w:ilvl w:val="0"/>
          <w:numId w:val="14"/>
        </w:numPr>
        <w:bidi w:val="0"/>
        <w:spacing w:before="0" w:after="0"/>
        <w:rPr/>
      </w:pPr>
      <w:r>
        <w:rPr/>
        <w:t>Reavalie em intervalos planejados e após mudanças materiais, incidentes, novos grupos afetados, atualizações de modelo/fornecedor, drift, mudança legal ou falha de controle.</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Registro de risco</w:t>
            </w:r>
          </w:p>
        </w:tc>
        <w:tc>
          <w:tcPr>
            <w:tcW w:w="4680" w:type="dxa"/>
            <w:tcBorders/>
            <w:vAlign w:val="center"/>
            <w:shd w:fill="1F4E78"/>
          </w:tcPr>
          <w:p>
            <w:pPr>
              <w:pStyle w:val="TableHeading"/>
              <w:bidi w:val="0"/>
              <w:spacing w:before="0" w:after="40"/>
              <w:rPr>
                <w:b/>
                <w:bCs/>
              </w:rPr>
            </w:pPr>
            <w:r>
              <w:rPr>
                <w:b/>
                <w:bCs/>
                <w:sz w:val="19"/>
                <w:color w:val="FFFFFF"/>
              </w:rPr>
              <w:t>Detalhe mínimo</w:t>
            </w:r>
          </w:p>
        </w:tc>
      </w:tr>
      <w:tr>
        <w:trPr>
          <w:cantSplit/>
        </w:trPr>
        <w:tc>
          <w:tcPr>
            <w:tcW w:w="4680" w:type="dxa"/>
            <w:tcBorders/>
            <w:vAlign w:val="center"/>
          </w:tcPr>
          <w:p>
            <w:pPr>
              <w:pStyle w:val="TableContents"/>
              <w:suppressLineNumbers/>
              <w:bidi w:val="0"/>
              <w:spacing w:before="0" w:after="40"/>
              <w:ind w:hanging="0" w:start="43" w:end="43"/>
              <w:rPr/>
            </w:pPr>
            <w:r>
              <w:rPr>
                <w:sz w:val="19"/>
              </w:rPr>
              <w:t>Cenário</w:t>
            </w:r>
          </w:p>
        </w:tc>
        <w:tc>
          <w:tcPr>
            <w:tcW w:w="4680" w:type="dxa"/>
            <w:tcBorders/>
            <w:vAlign w:val="center"/>
          </w:tcPr>
          <w:p>
            <w:pPr>
              <w:pStyle w:val="TableContents"/>
              <w:suppressLineNumbers/>
              <w:bidi w:val="0"/>
              <w:spacing w:before="0" w:after="40"/>
              <w:ind w:hanging="0" w:start="43" w:end="43"/>
              <w:rPr/>
            </w:pPr>
            <w:r>
              <w:rPr>
                <w:sz w:val="19"/>
              </w:rPr>
              <w:t>Causa/ator, condição vulnerável, evento/ação, comportamento do sistema, parte afetada e consequência</w:t>
            </w:r>
          </w:p>
        </w:tc>
      </w:tr>
      <w:tr>
        <w:trPr>
          <w:cantSplit/>
        </w:trPr>
        <w:tc>
          <w:tcPr>
            <w:tcW w:w="4680" w:type="dxa"/>
            <w:tcBorders/>
            <w:vAlign w:val="center"/>
          </w:tcPr>
          <w:p>
            <w:pPr>
              <w:pStyle w:val="TableContents"/>
              <w:suppressLineNumbers/>
              <w:bidi w:val="0"/>
              <w:spacing w:before="0" w:after="40"/>
              <w:ind w:hanging="0" w:start="43" w:end="43"/>
              <w:rPr/>
            </w:pPr>
            <w:r>
              <w:rPr>
                <w:sz w:val="19"/>
              </w:rPr>
              <w:t>Contexto</w:t>
            </w:r>
          </w:p>
        </w:tc>
        <w:tc>
          <w:tcPr>
            <w:tcW w:w="4680" w:type="dxa"/>
            <w:tcBorders/>
            <w:vAlign w:val="center"/>
          </w:tcPr>
          <w:p>
            <w:pPr>
              <w:pStyle w:val="TableContents"/>
              <w:suppressLineNumbers/>
              <w:bidi w:val="0"/>
              <w:spacing w:before="0" w:after="40"/>
              <w:ind w:hanging="0" w:start="43" w:end="43"/>
              <w:rPr/>
            </w:pPr>
            <w:r>
              <w:rPr>
                <w:sz w:val="19"/>
              </w:rPr>
              <w:t>Uso, pessoas, geografia, escala, dados, modelo/versão, ferramentas, fornecedor e premissas</w:t>
            </w:r>
          </w:p>
        </w:tc>
      </w:tr>
      <w:tr>
        <w:trPr>
          <w:cantSplit/>
        </w:trPr>
        <w:tc>
          <w:tcPr>
            <w:tcW w:w="4680" w:type="dxa"/>
            <w:tcBorders/>
            <w:vAlign w:val="center"/>
          </w:tcPr>
          <w:p>
            <w:pPr>
              <w:pStyle w:val="TableContents"/>
              <w:suppressLineNumbers/>
              <w:bidi w:val="0"/>
              <w:spacing w:before="0" w:after="40"/>
              <w:ind w:hanging="0" w:start="43" w:end="43"/>
              <w:rPr/>
            </w:pPr>
            <w:r>
              <w:rPr>
                <w:sz w:val="19"/>
              </w:rPr>
              <w:t>Análise</w:t>
            </w:r>
          </w:p>
        </w:tc>
        <w:tc>
          <w:tcPr>
            <w:tcW w:w="4680" w:type="dxa"/>
            <w:tcBorders/>
            <w:vAlign w:val="center"/>
          </w:tcPr>
          <w:p>
            <w:pPr>
              <w:pStyle w:val="TableContents"/>
              <w:suppressLineNumbers/>
              <w:bidi w:val="0"/>
              <w:spacing w:before="0" w:after="40"/>
              <w:ind w:hanging="0" w:start="43" w:end="43"/>
              <w:rPr/>
            </w:pPr>
            <w:r>
              <w:rPr>
                <w:sz w:val="19"/>
              </w:rPr>
              <w:t>Probabilidade, dimensões de impacto, incerteza, evidências e eficácia dos controles existentes</w:t>
            </w:r>
          </w:p>
        </w:tc>
      </w:tr>
      <w:tr>
        <w:trPr>
          <w:cantSplit/>
        </w:trPr>
        <w:tc>
          <w:tcPr>
            <w:tcW w:w="4680" w:type="dxa"/>
            <w:tcBorders/>
            <w:vAlign w:val="center"/>
          </w:tcPr>
          <w:p>
            <w:pPr>
              <w:pStyle w:val="TableContents"/>
              <w:suppressLineNumbers/>
              <w:bidi w:val="0"/>
              <w:spacing w:before="0" w:after="40"/>
              <w:ind w:hanging="0" w:start="43" w:end="43"/>
              <w:rPr/>
            </w:pPr>
            <w:r>
              <w:rPr>
                <w:sz w:val="19"/>
              </w:rPr>
              <w:t>Tratamento</w:t>
            </w:r>
          </w:p>
        </w:tc>
        <w:tc>
          <w:tcPr>
            <w:tcW w:w="4680" w:type="dxa"/>
            <w:tcBorders/>
            <w:vAlign w:val="center"/>
          </w:tcPr>
          <w:p>
            <w:pPr>
              <w:pStyle w:val="TableContents"/>
              <w:suppressLineNumbers/>
              <w:bidi w:val="0"/>
              <w:spacing w:before="0" w:after="40"/>
              <w:ind w:hanging="0" w:start="43" w:end="43"/>
              <w:rPr/>
            </w:pPr>
            <w:r>
              <w:rPr>
                <w:sz w:val="19"/>
              </w:rPr>
              <w:t>Evitar/reduzir/compartilhar/aceitar, controles, proprietário, data, medida e risco residual</w:t>
            </w:r>
          </w:p>
        </w:tc>
      </w:tr>
      <w:tr>
        <w:trPr>
          <w:cantSplit/>
        </w:trPr>
        <w:tc>
          <w:tcPr>
            <w:tcW w:w="4680" w:type="dxa"/>
            <w:tcBorders/>
            <w:vAlign w:val="center"/>
          </w:tcPr>
          <w:p>
            <w:pPr>
              <w:pStyle w:val="TableContents"/>
              <w:suppressLineNumbers/>
              <w:bidi w:val="0"/>
              <w:spacing w:before="0" w:after="40"/>
              <w:ind w:hanging="0" w:start="43" w:end="43"/>
              <w:rPr/>
            </w:pPr>
            <w:r>
              <w:rPr>
                <w:sz w:val="19"/>
              </w:rPr>
              <w:t>Decisão</w:t>
            </w:r>
          </w:p>
        </w:tc>
        <w:tc>
          <w:tcPr>
            <w:tcW w:w="4680" w:type="dxa"/>
            <w:tcBorders/>
            <w:vAlign w:val="center"/>
          </w:tcPr>
          <w:p>
            <w:pPr>
              <w:pStyle w:val="TableContents"/>
              <w:suppressLineNumbers/>
              <w:bidi w:val="0"/>
              <w:spacing w:before="0" w:after="40"/>
              <w:ind w:hanging="0" w:start="43" w:end="43"/>
              <w:rPr/>
            </w:pPr>
            <w:r>
              <w:rPr>
                <w:sz w:val="19"/>
              </w:rPr>
              <w:t>Aprovador autorizado, justificativa, condições, validade, monitoramento e gatilho de revisão</w:t>
            </w:r>
          </w:p>
        </w:tc>
      </w:tr>
    </w:tbl>
    <w:p>
      <w:pPr>
        <w:pStyle w:val="Heading1"/>
        <w:tabs>
          <w:tab w:val="clear" w:pos="709"/>
          <w:tab w:val="left" w:pos="0" w:leader="none"/>
        </w:tabs>
        <w:bidi w:val="0"/>
        <w:ind w:hanging="0" w:start="0"/>
        <w:jc w:val="left"/>
        <w:rPr/>
        <w:keepNext/>
      </w:pPr>
      <w:bookmarkStart w:id="24" w:name="cláusula-6.1.3-tratamento-de-riscos-de-i"/>
      <w:r>
        <w:rPr/>
        <w:t>8. Cláusula 6.1.3: Tratamento de riscos de IA e Declaração de Aplicabilidade</w:t>
      </w:r>
      <w:bookmarkEnd w:id="24"/>
    </w:p>
    <w:p>
      <w:pPr>
        <w:pStyle w:val="Firstparagraph"/>
        <w:bidi w:val="0"/>
        <w:rPr>
          <w:i/>
          <w:iCs/>
        </w:rPr>
      </w:pPr>
      <w:r>
        <w:rPr>
          <w:i/>
          <w:iCs/>
        </w:rPr>
        <w:t>O tratamento de riscos seleciona controles, compara-os ao Anexo A, produz a Declaração de Aplicabilidade e obtém aprovação do risco residual.</w:t>
      </w:r>
    </w:p>
    <w:p>
      <w:pPr>
        <w:pStyle w:val="Heading2"/>
        <w:tabs>
          <w:tab w:val="clear" w:pos="709"/>
          <w:tab w:val="left" w:pos="0" w:leader="none"/>
        </w:tabs>
        <w:bidi w:val="0"/>
        <w:ind w:hanging="0" w:start="0"/>
        <w:jc w:val="left"/>
        <w:rPr/>
        <w:keepNext/>
      </w:pPr>
      <w:bookmarkStart w:id="25" w:name="processo-de-tratamento"/>
      <w:r>
        <w:rPr/>
        <w:t>8.1 Processo de tratamento</w:t>
      </w:r>
      <w:bookmarkEnd w:id="25"/>
    </w:p>
    <w:p>
      <w:pPr>
        <w:pStyle w:val="BodyText"/>
        <w:numPr>
          <w:ilvl w:val="0"/>
          <w:numId w:val="15"/>
        </w:numPr>
        <w:bidi w:val="0"/>
        <w:spacing w:before="0" w:after="0"/>
        <w:rPr/>
      </w:pPr>
      <w:r>
        <w:rPr/>
        <w:t>Escolha opções de tratamento: evitar, alterar/reduzir, compartilhar/transferir, aceitar dentro da autoridade ou conduzir piloto estritamente limitado para reduzir incerteza.</w:t>
      </w:r>
    </w:p>
    <w:p>
      <w:pPr>
        <w:pStyle w:val="BodyText"/>
        <w:numPr>
          <w:ilvl w:val="0"/>
          <w:numId w:val="15"/>
        </w:numPr>
        <w:bidi w:val="0"/>
        <w:spacing w:before="0" w:after="0"/>
        <w:rPr/>
      </w:pPr>
      <w:r>
        <w:rPr/>
        <w:t>Determine controles necessários a partir de requisitos legais e contratuais, resultados de risco e impacto de IA, arquitetura, partes interessadas e objetivos.</w:t>
      </w:r>
    </w:p>
    <w:p>
      <w:pPr>
        <w:pStyle w:val="BodyText"/>
        <w:numPr>
          <w:ilvl w:val="0"/>
          <w:numId w:val="15"/>
        </w:numPr>
        <w:bidi w:val="0"/>
        <w:spacing w:before="0" w:after="0"/>
        <w:rPr/>
      </w:pPr>
      <w:r>
        <w:rPr/>
        <w:t>Compare controles selecionados com o Anexo A para verificar que nenhum controle de referência relevante foi ignorado.</w:t>
      </w:r>
    </w:p>
    <w:p>
      <w:pPr>
        <w:pStyle w:val="BodyText"/>
        <w:numPr>
          <w:ilvl w:val="0"/>
          <w:numId w:val="15"/>
        </w:numPr>
        <w:bidi w:val="0"/>
        <w:spacing w:before="0" w:after="0"/>
        <w:rPr/>
      </w:pPr>
      <w:r>
        <w:rPr/>
        <w:t>Acrescente controles além do Anexo A quando necessários para segurança, privacidade, segurança funcional, qualidade, avaliação técnica, acessibilidade, resiliência ou obrigações setoriais.</w:t>
      </w:r>
    </w:p>
    <w:p>
      <w:pPr>
        <w:pStyle w:val="BodyText"/>
        <w:numPr>
          <w:ilvl w:val="0"/>
          <w:numId w:val="15"/>
        </w:numPr>
        <w:bidi w:val="0"/>
        <w:spacing w:before="0" w:after="0"/>
        <w:rPr/>
      </w:pPr>
      <w:r>
        <w:rPr/>
        <w:t>Crie e aprove plano de tratamento e obtenha autorização para o risco residual.</w:t>
      </w:r>
    </w:p>
    <w:p>
      <w:pPr>
        <w:pStyle w:val="BodyText"/>
        <w:numPr>
          <w:ilvl w:val="0"/>
          <w:numId w:val="15"/>
        </w:numPr>
        <w:bidi w:val="0"/>
        <w:spacing w:before="0" w:after="0"/>
        <w:rPr/>
      </w:pPr>
      <w:r>
        <w:rPr/>
        <w:t>Preserve resultados e mudanças do tratamento como informação documentada controlada.</w:t>
      </w:r>
    </w:p>
    <w:p>
      <w:pPr>
        <w:pStyle w:val="Heading2"/>
        <w:tabs>
          <w:tab w:val="clear" w:pos="709"/>
          <w:tab w:val="left" w:pos="0" w:leader="none"/>
        </w:tabs>
        <w:bidi w:val="0"/>
        <w:ind w:hanging="0" w:start="0"/>
        <w:jc w:val="left"/>
        <w:rPr/>
        <w:keepNext/>
      </w:pPr>
      <w:bookmarkStart w:id="26" w:name="campos-da-declaração-de-aplicabilidade"/>
      <w:r>
        <w:rPr/>
        <w:t>8.2 Campos da Declaração de Aplicabilidade</w:t>
      </w:r>
      <w:bookmarkEnd w:id="26"/>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Finalidade</w:t>
            </w:r>
          </w:p>
        </w:tc>
      </w:tr>
      <w:tr>
        <w:trPr>
          <w:cantSplit/>
        </w:trPr>
        <w:tc>
          <w:tcPr>
            <w:tcW w:w="4680" w:type="dxa"/>
            <w:tcBorders/>
            <w:vAlign w:val="center"/>
          </w:tcPr>
          <w:p>
            <w:pPr>
              <w:pStyle w:val="TableContents"/>
              <w:suppressLineNumbers/>
              <w:bidi w:val="0"/>
              <w:spacing w:before="0" w:after="40"/>
              <w:ind w:hanging="0" w:start="43" w:end="43"/>
              <w:rPr/>
            </w:pPr>
            <w:r>
              <w:rPr>
                <w:sz w:val="19"/>
              </w:rPr>
              <w:t>Referência/título do controle</w:t>
            </w:r>
          </w:p>
        </w:tc>
        <w:tc>
          <w:tcPr>
            <w:tcW w:w="4680" w:type="dxa"/>
            <w:tcBorders/>
            <w:vAlign w:val="center"/>
          </w:tcPr>
          <w:p>
            <w:pPr>
              <w:pStyle w:val="TableContents"/>
              <w:suppressLineNumbers/>
              <w:bidi w:val="0"/>
              <w:spacing w:before="0" w:after="40"/>
              <w:ind w:hanging="0" w:start="43" w:end="43"/>
              <w:rPr/>
            </w:pPr>
            <w:r>
              <w:rPr>
                <w:sz w:val="19"/>
              </w:rPr>
              <w:t>Identidade do controle do Anexo A ou adicional</w:t>
            </w:r>
          </w:p>
        </w:tc>
      </w:tr>
      <w:tr>
        <w:trPr>
          <w:cantSplit/>
        </w:trPr>
        <w:tc>
          <w:tcPr>
            <w:tcW w:w="4680" w:type="dxa"/>
            <w:tcBorders/>
            <w:vAlign w:val="center"/>
          </w:tcPr>
          <w:p>
            <w:pPr>
              <w:pStyle w:val="TableContents"/>
              <w:suppressLineNumbers/>
              <w:bidi w:val="0"/>
              <w:spacing w:before="0" w:after="40"/>
              <w:ind w:hanging="0" w:start="43" w:end="43"/>
              <w:rPr/>
            </w:pPr>
            <w:r>
              <w:rPr>
                <w:sz w:val="19"/>
              </w:rPr>
              <w:t>Aplicável?</w:t>
            </w:r>
          </w:p>
        </w:tc>
        <w:tc>
          <w:tcPr>
            <w:tcW w:w="4680" w:type="dxa"/>
            <w:tcBorders/>
            <w:vAlign w:val="center"/>
          </w:tcPr>
          <w:p>
            <w:pPr>
              <w:pStyle w:val="TableContents"/>
              <w:suppressLineNumbers/>
              <w:bidi w:val="0"/>
              <w:spacing w:before="0" w:after="40"/>
              <w:ind w:hanging="0" w:start="43" w:end="43"/>
              <w:rPr/>
            </w:pPr>
            <w:r>
              <w:rPr>
                <w:sz w:val="19"/>
              </w:rPr>
              <w:t>Incluído ou excluído para o escopo definido do SGIA</w:t>
            </w:r>
          </w:p>
        </w:tc>
      </w:tr>
      <w:tr>
        <w:trPr>
          <w:cantSplit/>
        </w:trPr>
        <w:tc>
          <w:tcPr>
            <w:tcW w:w="4680" w:type="dxa"/>
            <w:tcBorders/>
            <w:vAlign w:val="center"/>
          </w:tcPr>
          <w:p>
            <w:pPr>
              <w:pStyle w:val="TableContents"/>
              <w:suppressLineNumbers/>
              <w:bidi w:val="0"/>
              <w:spacing w:before="0" w:after="40"/>
              <w:ind w:hanging="0" w:start="43" w:end="43"/>
              <w:rPr/>
            </w:pPr>
            <w:r>
              <w:rPr>
                <w:sz w:val="19"/>
              </w:rPr>
              <w:t>Justificativa</w:t>
            </w:r>
          </w:p>
        </w:tc>
        <w:tc>
          <w:tcPr>
            <w:tcW w:w="4680" w:type="dxa"/>
            <w:tcBorders/>
            <w:vAlign w:val="center"/>
          </w:tcPr>
          <w:p>
            <w:pPr>
              <w:pStyle w:val="TableContents"/>
              <w:suppressLineNumbers/>
              <w:bidi w:val="0"/>
              <w:spacing w:before="0" w:after="40"/>
              <w:ind w:hanging="0" w:start="43" w:end="43"/>
              <w:rPr/>
            </w:pPr>
            <w:r>
              <w:rPr>
                <w:sz w:val="19"/>
              </w:rPr>
              <w:t>Risco, obrigação, objetivo, arquitetura ou razão de exclusão</w:t>
            </w:r>
          </w:p>
        </w:tc>
      </w:tr>
      <w:tr>
        <w:trPr>
          <w:cantSplit/>
        </w:trPr>
        <w:tc>
          <w:tcPr>
            <w:tcW w:w="4680" w:type="dxa"/>
            <w:tcBorders/>
            <w:vAlign w:val="center"/>
          </w:tcPr>
          <w:p>
            <w:pPr>
              <w:pStyle w:val="TableContents"/>
              <w:suppressLineNumbers/>
              <w:bidi w:val="0"/>
              <w:spacing w:before="0" w:after="40"/>
              <w:ind w:hanging="0" w:start="43" w:end="43"/>
              <w:rPr/>
            </w:pPr>
            <w:r>
              <w:rPr>
                <w:sz w:val="19"/>
              </w:rPr>
              <w:t>Implementação</w:t>
            </w:r>
          </w:p>
        </w:tc>
        <w:tc>
          <w:tcPr>
            <w:tcW w:w="4680" w:type="dxa"/>
            <w:tcBorders/>
            <w:vAlign w:val="center"/>
          </w:tcPr>
          <w:p>
            <w:pPr>
              <w:pStyle w:val="TableContents"/>
              <w:suppressLineNumbers/>
              <w:bidi w:val="0"/>
              <w:spacing w:before="0" w:after="40"/>
              <w:ind w:hanging="0" w:start="43" w:end="43"/>
              <w:rPr/>
            </w:pPr>
            <w:r>
              <w:rPr>
                <w:sz w:val="19"/>
              </w:rPr>
              <w:t>Política/processo/sistema e proprietário responsável</w:t>
            </w:r>
          </w:p>
        </w:tc>
      </w:tr>
      <w:tr>
        <w:trPr>
          <w:cantSplit/>
        </w:trPr>
        <w:tc>
          <w:tcPr>
            <w:tcW w:w="4680" w:type="dxa"/>
            <w:tcBorders/>
            <w:vAlign w:val="center"/>
          </w:tcPr>
          <w:p>
            <w:pPr>
              <w:pStyle w:val="TableContents"/>
              <w:suppressLineNumbers/>
              <w:bidi w:val="0"/>
              <w:spacing w:before="0" w:after="40"/>
              <w:ind w:hanging="0" w:start="43" w:end="43"/>
              <w:rPr/>
            </w:pPr>
            <w:r>
              <w:rPr>
                <w:sz w:val="19"/>
              </w:rPr>
              <w:t>Status</w:t>
            </w:r>
          </w:p>
        </w:tc>
        <w:tc>
          <w:tcPr>
            <w:tcW w:w="4680" w:type="dxa"/>
            <w:tcBorders/>
            <w:vAlign w:val="center"/>
          </w:tcPr>
          <w:p>
            <w:pPr>
              <w:pStyle w:val="TableContents"/>
              <w:suppressLineNumbers/>
              <w:bidi w:val="0"/>
              <w:spacing w:before="0" w:after="40"/>
              <w:ind w:hanging="0" w:start="43" w:end="43"/>
              <w:rPr/>
            </w:pPr>
            <w:r>
              <w:rPr>
                <w:sz w:val="19"/>
              </w:rPr>
              <w:t>Implementado, parcial, planejado ou não aplicável</w:t>
            </w:r>
          </w:p>
        </w:tc>
      </w:tr>
      <w:tr>
        <w:trPr>
          <w:cantSplit/>
        </w:trPr>
        <w:tc>
          <w:tcPr>
            <w:tcW w:w="4680" w:type="dxa"/>
            <w:tcBorders/>
            <w:vAlign w:val="center"/>
          </w:tcPr>
          <w:p>
            <w:pPr>
              <w:pStyle w:val="TableContents"/>
              <w:suppressLineNumbers/>
              <w:bidi w:val="0"/>
              <w:spacing w:before="0" w:after="40"/>
              <w:ind w:hanging="0" w:start="43" w:end="43"/>
              <w:rPr/>
            </w:pPr>
            <w:r>
              <w:rPr>
                <w:sz w:val="19"/>
              </w:rPr>
              <w:t>Evidência/teste</w:t>
            </w:r>
          </w:p>
        </w:tc>
        <w:tc>
          <w:tcPr>
            <w:tcW w:w="4680" w:type="dxa"/>
            <w:tcBorders/>
            <w:vAlign w:val="center"/>
          </w:tcPr>
          <w:p>
            <w:pPr>
              <w:pStyle w:val="TableContents"/>
              <w:suppressLineNumbers/>
              <w:bidi w:val="0"/>
              <w:spacing w:before="0" w:after="40"/>
              <w:ind w:hanging="0" w:start="43" w:end="43"/>
              <w:rPr/>
            </w:pPr>
            <w:r>
              <w:rPr>
                <w:sz w:val="19"/>
              </w:rPr>
              <w:t>Evidência atual e resultado de eficácia operacional</w:t>
            </w:r>
          </w:p>
        </w:tc>
      </w:tr>
      <w:tr>
        <w:trPr>
          <w:cantSplit/>
        </w:trPr>
        <w:tc>
          <w:tcPr>
            <w:tcW w:w="4680" w:type="dxa"/>
            <w:tcBorders/>
            <w:vAlign w:val="center"/>
          </w:tcPr>
          <w:p>
            <w:pPr>
              <w:pStyle w:val="TableContents"/>
              <w:suppressLineNumbers/>
              <w:bidi w:val="0"/>
              <w:spacing w:before="0" w:after="40"/>
              <w:ind w:hanging="0" w:start="43" w:end="43"/>
              <w:rPr/>
            </w:pPr>
            <w:r>
              <w:rPr>
                <w:sz w:val="19"/>
              </w:rPr>
              <w:t>Dependências/lacunas</w:t>
            </w:r>
          </w:p>
        </w:tc>
        <w:tc>
          <w:tcPr>
            <w:tcW w:w="4680" w:type="dxa"/>
            <w:tcBorders/>
            <w:vAlign w:val="center"/>
          </w:tcPr>
          <w:p>
            <w:pPr>
              <w:pStyle w:val="TableContents"/>
              <w:suppressLineNumbers/>
              <w:bidi w:val="0"/>
              <w:spacing w:before="0" w:after="40"/>
              <w:ind w:hanging="0" w:start="43" w:end="43"/>
              <w:rPr/>
            </w:pPr>
            <w:r>
              <w:rPr>
                <w:sz w:val="19"/>
              </w:rPr>
              <w:t>Controles compartilhados de fornecedor/cliente e constatações</w:t>
            </w:r>
          </w:p>
        </w:tc>
      </w:tr>
      <w:tr>
        <w:trPr>
          <w:cantSplit/>
        </w:trPr>
        <w:tc>
          <w:tcPr>
            <w:tcW w:w="4680" w:type="dxa"/>
            <w:tcBorders/>
            <w:vAlign w:val="center"/>
          </w:tcPr>
          <w:p>
            <w:pPr>
              <w:pStyle w:val="TableContents"/>
              <w:suppressLineNumbers/>
              <w:bidi w:val="0"/>
              <w:spacing w:before="0" w:after="40"/>
              <w:ind w:hanging="0" w:start="43" w:end="43"/>
              <w:rPr/>
            </w:pPr>
            <w:r>
              <w:rPr>
                <w:sz w:val="19"/>
              </w:rPr>
              <w:t>Revisão</w:t>
            </w:r>
          </w:p>
        </w:tc>
        <w:tc>
          <w:tcPr>
            <w:tcW w:w="4680" w:type="dxa"/>
            <w:tcBorders/>
            <w:vAlign w:val="center"/>
          </w:tcPr>
          <w:p>
            <w:pPr>
              <w:pStyle w:val="TableContents"/>
              <w:suppressLineNumbers/>
              <w:bidi w:val="0"/>
              <w:spacing w:before="0" w:after="40"/>
              <w:ind w:hanging="0" w:start="43" w:end="43"/>
              <w:rPr/>
            </w:pPr>
            <w:r>
              <w:rPr>
                <w:sz w:val="19"/>
              </w:rPr>
              <w:t>Última/próxima revisão e gatilhos de mudança</w:t>
            </w:r>
          </w:p>
        </w:tc>
      </w:tr>
    </w:tbl>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Alerta sobre a Declaração de Aplicabilidade:</w:t>
      </w:r>
      <w:r>
        <w:rPr/>
        <w:t xml:space="preserve"> Ela não é uma lista copiada. Deve concordar com o escopo atual, avaliações de risco e impacto, plano de tratamento, implementação real, evidências e decisões de risco.</w:t>
      </w:r>
    </w:p>
    <w:p>
      <w:pPr>
        <w:pStyle w:val="Heading1"/>
        <w:tabs>
          <w:tab w:val="clear" w:pos="709"/>
          <w:tab w:val="left" w:pos="0" w:leader="none"/>
        </w:tabs>
        <w:bidi w:val="0"/>
        <w:ind w:hanging="0" w:start="0"/>
        <w:jc w:val="left"/>
        <w:rPr/>
        <w:keepNext/>
      </w:pPr>
      <w:bookmarkStart w:id="27" w:name="cláusula-6.1.4-avaliação-de-impacto-de-s"/>
      <w:r>
        <w:rPr/>
        <w:t>9. Cláusula 6.1.4: Avaliação de impacto de sistemas de IA</w:t>
      </w:r>
      <w:bookmarkEnd w:id="27"/>
    </w:p>
    <w:p>
      <w:pPr>
        <w:pStyle w:val="Firstparagraph"/>
        <w:bidi w:val="0"/>
        <w:rPr>
          <w:i/>
          <w:iCs/>
        </w:rPr>
      </w:pPr>
      <w:r>
        <w:rPr>
          <w:i/>
          <w:iCs/>
        </w:rPr>
        <w:t>A avaliação de impacto de sistemas de IA examina como um sistema de IA pode afetar indivíduos, grupos e a sociedade ao longo de seu ciclo de vida.</w:t>
      </w:r>
    </w:p>
    <w:p>
      <w:pPr>
        <w:pStyle w:val="FigureWithCaption"/>
        <w:keepNext w:val="true"/>
        <w:suppressLineNumbers/>
        <w:bidi w:val="0"/>
        <w:rPr/>
      </w:pPr>
      <w:r>
        <w:rPr/>
        <w:drawing>
          <wp:inline distT="0" distB="0" distL="0" distR="0">
            <wp:extent cx="5623560" cy="2955925"/>
            <wp:effectExtent l="0" t="0" r="0" b="0"/>
            <wp:docPr id="4" name="Manual 02 Figure 4" title="Figure 4" descr="A ISO/IEC 42005:2025 fornece orientação atual que complementa a ISO/IEC 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A ISO/IEC 42005:2025 fornece orientação atual que complementa a ISO/IEC 42001.</w:t>
      </w:r>
    </w:p>
    <w:p>
      <w:pPr>
        <w:pStyle w:val="Caption"/>
        <w:bidi w:val="0"/>
        <w:spacing w:before="86" w:after="86"/>
        <w:rPr/>
        <w:keepNext/>
      </w:pPr>
      <w:r>
        <w:rPr/>
        <w:t>Figura 4. Avaliação de impacto de sistemas de IA</w:t>
      </w:r>
    </w:p>
    <w:p>
      <w:pPr>
        <w:pStyle w:val="BlockQuotation"/>
        <w:bidi w:val="0"/>
        <w:ind w:hanging="0" w:start="720" w:end="0"/>
        <w:rPr/>
      </w:pPr>
      <w:r>
        <w:rPr>
          <w:b/>
          <w:bCs/>
        </w:rPr>
        <w:t>Explicação acessível:</w:t>
      </w:r>
      <w:r>
        <w:rPr/>
        <w:t xml:space="preserve"> A avaliação parte da finalidade e do contexto do sistema, identifica pessoas e grupos afetados, examina benefícios e efeitos adversos diretos, indiretos e sociais, avalia gravidade, escala, duração, reversibilidade e incerteza e converte mitigações em decisões, supervisão, transparência, reparação e monitoramento.</w:t>
      </w:r>
    </w:p>
    <w:p>
      <w:pPr>
        <w:pStyle w:val="Heading2"/>
        <w:tabs>
          <w:tab w:val="clear" w:pos="709"/>
          <w:tab w:val="left" w:pos="0" w:leader="none"/>
        </w:tabs>
        <w:bidi w:val="0"/>
        <w:ind w:hanging="0" w:start="0"/>
        <w:jc w:val="left"/>
        <w:rPr/>
        <w:keepNext/>
      </w:pPr>
      <w:bookmarkStart w:id="28" w:name="processo-de-avaliação-de-impacto"/>
      <w:r>
        <w:rPr/>
        <w:t>9.1 Processo de avaliação de impacto</w:t>
      </w:r>
      <w:bookmarkEnd w:id="28"/>
    </w:p>
    <w:p>
      <w:pPr>
        <w:pStyle w:val="BodyText"/>
        <w:numPr>
          <w:ilvl w:val="0"/>
          <w:numId w:val="16"/>
        </w:numPr>
        <w:bidi w:val="0"/>
        <w:spacing w:before="0" w:after="0"/>
        <w:rPr/>
      </w:pPr>
      <w:r>
        <w:rPr/>
        <w:t>Defina gatilhos, escopo, papéis, independência, métodos, participação das partes afetadas, aprovação, retenção, revisão e relação com tratamento de riscos e decisões.</w:t>
      </w:r>
    </w:p>
    <w:p>
      <w:pPr>
        <w:pStyle w:val="BodyText"/>
        <w:numPr>
          <w:ilvl w:val="0"/>
          <w:numId w:val="16"/>
        </w:numPr>
        <w:bidi w:val="0"/>
        <w:spacing w:before="0" w:after="0"/>
        <w:rPr/>
      </w:pPr>
      <w:r>
        <w:rPr/>
        <w:t>Descreva finalidade, usuários, pessoas afetadas, decisões/conteúdo, grau de automação, alternativas, dados, modelo, fornecedores, geografia, escala, duração e usos proibidos ou previsíveis.</w:t>
      </w:r>
    </w:p>
    <w:p>
      <w:pPr>
        <w:pStyle w:val="BodyText"/>
        <w:numPr>
          <w:ilvl w:val="0"/>
          <w:numId w:val="16"/>
        </w:numPr>
        <w:bidi w:val="0"/>
        <w:spacing w:before="0" w:after="0"/>
        <w:rPr/>
      </w:pPr>
      <w:r>
        <w:rPr/>
        <w:t>Identifique benefícios pretendidos e impactos adversos sobre direitos, equidade, privacidade, segurança funcional, cibersegurança, saúde, acessibilidade, emprego, finanças, crianças/grupos vulneráveis, meio ambiente, cultura, serviços públicos, democracia e condições sociais/econômicas, conforme relevante.</w:t>
      </w:r>
    </w:p>
    <w:p>
      <w:pPr>
        <w:pStyle w:val="BodyText"/>
        <w:numPr>
          <w:ilvl w:val="0"/>
          <w:numId w:val="16"/>
        </w:numPr>
        <w:bidi w:val="0"/>
        <w:spacing w:before="0" w:after="0"/>
        <w:rPr/>
      </w:pPr>
      <w:r>
        <w:rPr/>
        <w:t>Considere impactos diretos, indiretos, cumulativos, tardios, reversíveis/irreversíveis, individuais, de grupo e sociais.</w:t>
      </w:r>
    </w:p>
    <w:p>
      <w:pPr>
        <w:pStyle w:val="BodyText"/>
        <w:numPr>
          <w:ilvl w:val="0"/>
          <w:numId w:val="16"/>
        </w:numPr>
        <w:bidi w:val="0"/>
        <w:spacing w:before="0" w:after="0"/>
        <w:rPr/>
      </w:pPr>
      <w:r>
        <w:rPr/>
        <w:t>Avalie probabilidade, gravidade, escala, duração, reversibilidade, distribuição, incerteza e opiniões das partes afetadas.</w:t>
      </w:r>
    </w:p>
    <w:p>
      <w:pPr>
        <w:pStyle w:val="BodyText"/>
        <w:numPr>
          <w:ilvl w:val="0"/>
          <w:numId w:val="16"/>
        </w:numPr>
        <w:bidi w:val="0"/>
        <w:spacing w:before="0" w:after="0"/>
        <w:rPr/>
      </w:pPr>
      <w:r>
        <w:rPr/>
        <w:t>Selecione mitigações, supervisão humana, avisos, escolhas, reparação, monitoramento, limites e critérios de interrupção; obtenha aprovação responsável.</w:t>
      </w:r>
    </w:p>
    <w:p>
      <w:pPr>
        <w:pStyle w:val="BodyText"/>
        <w:numPr>
          <w:ilvl w:val="0"/>
          <w:numId w:val="16"/>
        </w:numPr>
        <w:bidi w:val="0"/>
        <w:spacing w:before="0" w:after="0"/>
        <w:rPr/>
      </w:pPr>
      <w:r>
        <w:rPr/>
        <w:t>Atualize antes de mudanças importantes e após incidentes, reclamações, novas evidências, drift ou expansão do uso.</w:t>
      </w:r>
    </w:p>
    <w:p>
      <w:pPr>
        <w:pStyle w:val="Heading2"/>
        <w:tabs>
          <w:tab w:val="clear" w:pos="709"/>
          <w:tab w:val="left" w:pos="0" w:leader="none"/>
        </w:tabs>
        <w:bidi w:val="0"/>
        <w:ind w:hanging="0" w:start="0"/>
        <w:jc w:val="left"/>
        <w:rPr/>
        <w:keepNext/>
      </w:pPr>
      <w:bookmarkStart w:id="29" w:name="avaliação-de-riscos-versus-avaliação-de-"/>
      <w:r>
        <w:rPr/>
        <w:t>9.2 Avaliação de riscos versus avaliação de impacto</w:t>
      </w:r>
      <w:bookmarkEnd w:id="29"/>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Avaliação de riscos</w:t>
            </w:r>
          </w:p>
        </w:tc>
        <w:tc>
          <w:tcPr>
            <w:tcW w:w="4680" w:type="dxa"/>
            <w:tcBorders/>
            <w:vAlign w:val="center"/>
            <w:shd w:fill="1F4E78"/>
          </w:tcPr>
          <w:p>
            <w:pPr>
              <w:pStyle w:val="TableHeading"/>
              <w:bidi w:val="0"/>
              <w:spacing w:before="0" w:after="40"/>
              <w:rPr>
                <w:b/>
                <w:bCs/>
              </w:rPr>
            </w:pPr>
            <w:r>
              <w:rPr>
                <w:b/>
                <w:bCs/>
                <w:sz w:val="19"/>
                <w:color w:val="FFFFFF"/>
              </w:rPr>
              <w:t>Avaliação de impacto</w:t>
            </w:r>
          </w:p>
        </w:tc>
      </w:tr>
      <w:tr>
        <w:trPr>
          <w:cantSplit/>
        </w:trPr>
        <w:tc>
          <w:tcPr>
            <w:tcW w:w="4680" w:type="dxa"/>
            <w:tcBorders/>
            <w:vAlign w:val="center"/>
          </w:tcPr>
          <w:p>
            <w:pPr>
              <w:pStyle w:val="TableContents"/>
              <w:suppressLineNumbers/>
              <w:bidi w:val="0"/>
              <w:spacing w:before="0" w:after="40"/>
              <w:ind w:hanging="0" w:start="43" w:end="43"/>
              <w:rPr/>
            </w:pPr>
            <w:r>
              <w:rPr>
                <w:sz w:val="19"/>
              </w:rPr>
              <w:t>Gerencia incerteza que afeta objetivos, incluindo organização, pessoas e sociedade</w:t>
            </w:r>
          </w:p>
        </w:tc>
        <w:tc>
          <w:tcPr>
            <w:tcW w:w="4680" w:type="dxa"/>
            <w:tcBorders/>
            <w:vAlign w:val="center"/>
          </w:tcPr>
          <w:p>
            <w:pPr>
              <w:pStyle w:val="TableContents"/>
              <w:suppressLineNumbers/>
              <w:bidi w:val="0"/>
              <w:spacing w:before="0" w:after="40"/>
              <w:ind w:hanging="0" w:start="43" w:end="43"/>
              <w:rPr/>
            </w:pPr>
            <w:r>
              <w:rPr>
                <w:sz w:val="19"/>
              </w:rPr>
              <w:t>Foca especificamente efeitos potenciais de um sistema de IA sobre indivíduos, grupos e sociedade</w:t>
            </w:r>
          </w:p>
        </w:tc>
      </w:tr>
      <w:tr>
        <w:trPr>
          <w:cantSplit/>
        </w:trPr>
        <w:tc>
          <w:tcPr>
            <w:tcW w:w="4680" w:type="dxa"/>
            <w:tcBorders/>
            <w:vAlign w:val="center"/>
          </w:tcPr>
          <w:p>
            <w:pPr>
              <w:pStyle w:val="TableContents"/>
              <w:suppressLineNumbers/>
              <w:bidi w:val="0"/>
              <w:spacing w:before="0" w:after="40"/>
              <w:ind w:hanging="0" w:start="43" w:end="43"/>
              <w:rPr/>
            </w:pPr>
            <w:r>
              <w:rPr>
                <w:sz w:val="19"/>
              </w:rPr>
              <w:t>Pode agregar risco de portfólio e processos</w:t>
            </w:r>
          </w:p>
        </w:tc>
        <w:tc>
          <w:tcPr>
            <w:tcW w:w="4680" w:type="dxa"/>
            <w:tcBorders/>
            <w:vAlign w:val="center"/>
          </w:tcPr>
          <w:p>
            <w:pPr>
              <w:pStyle w:val="TableContents"/>
              <w:suppressLineNumbers/>
              <w:bidi w:val="0"/>
              <w:spacing w:before="0" w:after="40"/>
              <w:ind w:hanging="0" w:start="43" w:end="43"/>
              <w:rPr/>
            </w:pPr>
            <w:r>
              <w:rPr>
                <w:sz w:val="19"/>
              </w:rPr>
              <w:t>Deve permanecer ligada ao sistema/uso específico e ao contexto afetado</w:t>
            </w:r>
          </w:p>
        </w:tc>
      </w:tr>
      <w:tr>
        <w:trPr>
          <w:cantSplit/>
        </w:trPr>
        <w:tc>
          <w:tcPr>
            <w:tcW w:w="4680" w:type="dxa"/>
            <w:tcBorders/>
            <w:vAlign w:val="center"/>
          </w:tcPr>
          <w:p>
            <w:pPr>
              <w:pStyle w:val="TableContents"/>
              <w:suppressLineNumbers/>
              <w:bidi w:val="0"/>
              <w:spacing w:before="0" w:after="40"/>
              <w:ind w:hanging="0" w:start="43" w:end="43"/>
              <w:rPr/>
            </w:pPr>
            <w:r>
              <w:rPr>
                <w:sz w:val="19"/>
              </w:rPr>
              <w:t>Alimenta tratamento, controles e aceitação residual</w:t>
            </w:r>
          </w:p>
        </w:tc>
        <w:tc>
          <w:tcPr>
            <w:tcW w:w="4680" w:type="dxa"/>
            <w:tcBorders/>
            <w:vAlign w:val="center"/>
          </w:tcPr>
          <w:p>
            <w:pPr>
              <w:pStyle w:val="TableContents"/>
              <w:suppressLineNumbers/>
              <w:bidi w:val="0"/>
              <w:spacing w:before="0" w:after="40"/>
              <w:ind w:hanging="0" w:start="43" w:end="43"/>
              <w:rPr/>
            </w:pPr>
            <w:r>
              <w:rPr>
                <w:sz w:val="19"/>
              </w:rPr>
              <w:t>Alimenta projeto, implantação, uso, transparência, supervisão, reparação e monitoramento</w:t>
            </w:r>
          </w:p>
        </w:tc>
      </w:tr>
      <w:tr>
        <w:trPr>
          <w:cantSplit/>
        </w:trPr>
        <w:tc>
          <w:tcPr>
            <w:tcW w:w="4680" w:type="dxa"/>
            <w:tcBorders/>
            <w:vAlign w:val="center"/>
          </w:tcPr>
          <w:p>
            <w:pPr>
              <w:pStyle w:val="TableContents"/>
              <w:suppressLineNumbers/>
              <w:bidi w:val="0"/>
              <w:spacing w:before="0" w:after="40"/>
              <w:ind w:hanging="0" w:start="43" w:end="43"/>
              <w:rPr/>
            </w:pPr>
            <w:r>
              <w:rPr>
                <w:sz w:val="19"/>
              </w:rPr>
              <w:t>Ambas devem trocar constatações e permanecer coerentes</w:t>
            </w:r>
          </w:p>
        </w:tc>
        <w:tc>
          <w:tcPr>
            <w:tcW w:w="4680" w:type="dxa"/>
            <w:tcBorders/>
            <w:vAlign w:val="center"/>
          </w:tcPr>
          <w:p>
            <w:pPr>
              <w:pStyle w:val="TableContents"/>
              <w:suppressLineNumbers/>
              <w:bidi w:val="0"/>
              <w:spacing w:before="0" w:after="40"/>
              <w:ind w:hanging="0" w:start="43" w:end="43"/>
              <w:rPr/>
            </w:pPr>
            <w:r>
              <w:rPr>
                <w:sz w:val="19"/>
              </w:rPr>
              <w:t>Ambas exigem métodos documentados, evidências, decisões e revisão</w:t>
            </w:r>
          </w:p>
        </w:tc>
      </w:tr>
    </w:tbl>
    <w:p>
      <w:pPr>
        <w:pStyle w:val="Heading1"/>
        <w:tabs>
          <w:tab w:val="clear" w:pos="709"/>
          <w:tab w:val="left" w:pos="0" w:leader="none"/>
        </w:tabs>
        <w:bidi w:val="0"/>
        <w:ind w:hanging="0" w:start="0"/>
        <w:jc w:val="left"/>
        <w:rPr/>
        <w:keepNext/>
      </w:pPr>
      <w:bookmarkStart w:id="30" w:name="cláusulas-6.2-e-6.3-objetivos-e-planejam"/>
      <w:r>
        <w:rPr/>
        <w:t>10. Cláusulas 6.2 e 6.3: Objetivos e planejamento de mudanças</w:t>
      </w:r>
      <w:bookmarkEnd w:id="30"/>
    </w:p>
    <w:p>
      <w:pPr>
        <w:pStyle w:val="Firstparagraph"/>
        <w:bidi w:val="0"/>
        <w:rPr>
          <w:i/>
          <w:iCs/>
        </w:rPr>
      </w:pPr>
      <w:r>
        <w:rPr>
          <w:i/>
          <w:iCs/>
        </w:rPr>
        <w:t>Os objetivos transformam decisões de política e risco em resultados mensuráveis; mudanças devem ser planejadas e controladas.</w:t>
      </w:r>
    </w:p>
    <w:p>
      <w:pPr>
        <w:pStyle w:val="Heading2"/>
        <w:tabs>
          <w:tab w:val="clear" w:pos="709"/>
          <w:tab w:val="left" w:pos="0" w:leader="none"/>
        </w:tabs>
        <w:bidi w:val="0"/>
        <w:ind w:hanging="0" w:start="0"/>
        <w:jc w:val="left"/>
        <w:rPr/>
        <w:keepNext/>
      </w:pPr>
      <w:bookmarkStart w:id="31" w:name="registro-de-objetivos"/>
      <w:r>
        <w:rPr/>
        <w:t>10.1 Registro de objetivos</w:t>
      </w:r>
      <w:bookmarkEnd w:id="31"/>
    </w:p>
    <w:p>
      <w:pPr>
        <w:pStyle w:val="BodyText"/>
        <w:numPr>
          <w:ilvl w:val="0"/>
          <w:numId w:val="17"/>
        </w:numPr>
        <w:bidi w:val="0"/>
        <w:spacing w:before="0" w:after="0"/>
        <w:rPr/>
      </w:pPr>
      <w:r>
        <w:rPr/>
        <w:t>Objetivo e resultado pretendido, vinculados à política/risco/requisito e ao escopo.</w:t>
      </w:r>
    </w:p>
    <w:p>
      <w:pPr>
        <w:pStyle w:val="BodyText"/>
        <w:numPr>
          <w:ilvl w:val="0"/>
          <w:numId w:val="17"/>
        </w:numPr>
        <w:bidi w:val="0"/>
        <w:spacing w:before="0" w:after="0"/>
        <w:rPr/>
      </w:pPr>
      <w:r>
        <w:rPr/>
        <w:t>Medida, cálculo, fonte de dados, população, linha de base, meta, limite, frequência, proprietário, reporte e limitação.</w:t>
      </w:r>
    </w:p>
    <w:p>
      <w:pPr>
        <w:pStyle w:val="BodyText"/>
        <w:numPr>
          <w:ilvl w:val="0"/>
          <w:numId w:val="17"/>
        </w:numPr>
        <w:bidi w:val="0"/>
        <w:spacing w:before="0" w:after="0"/>
        <w:rPr/>
      </w:pPr>
      <w:r>
        <w:rPr/>
        <w:t>Ações, recursos, responsabilidades, cronograma, dependências, evidências e método de avaliação.</w:t>
      </w:r>
    </w:p>
    <w:p>
      <w:pPr>
        <w:pStyle w:val="BodyText"/>
        <w:numPr>
          <w:ilvl w:val="0"/>
          <w:numId w:val="17"/>
        </w:numPr>
        <w:bidi w:val="0"/>
        <w:spacing w:before="0" w:after="0"/>
        <w:rPr/>
      </w:pPr>
      <w:r>
        <w:rPr/>
        <w:t>Resposta quando o desempenho não atinge a meta; reavaliação quando a métrica cria incentivos prejudiciais.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Exemplo de objetivo</w:t>
            </w:r>
          </w:p>
        </w:tc>
        <w:tc>
          <w:tcPr>
            <w:tcW w:w="4680" w:type="dxa"/>
            <w:tcBorders/>
            <w:vAlign w:val="center"/>
            <w:shd w:fill="1F4E78"/>
          </w:tcPr>
          <w:p>
            <w:pPr>
              <w:pStyle w:val="TableHeading"/>
              <w:bidi w:val="0"/>
              <w:spacing w:before="0" w:after="40"/>
              <w:rPr>
                <w:b/>
                <w:bCs/>
              </w:rPr>
            </w:pPr>
            <w:r>
              <w:rPr>
                <w:b/>
                <w:bCs/>
                <w:sz w:val="19"/>
                <w:color w:val="FFFFFF"/>
              </w:rPr>
              <w:t>Medida melhor</w:t>
            </w:r>
          </w:p>
        </w:tc>
      </w:tr>
      <w:tr>
        <w:trPr>
          <w:cantSplit/>
        </w:trPr>
        <w:tc>
          <w:tcPr>
            <w:tcW w:w="4680" w:type="dxa"/>
            <w:tcBorders/>
            <w:vAlign w:val="center"/>
          </w:tcPr>
          <w:p>
            <w:pPr>
              <w:pStyle w:val="TableContents"/>
              <w:suppressLineNumbers/>
              <w:bidi w:val="0"/>
              <w:spacing w:before="0" w:after="40"/>
              <w:ind w:hanging="0" w:start="43" w:end="43"/>
              <w:rPr/>
            </w:pPr>
            <w:r>
              <w:rPr>
                <w:sz w:val="19"/>
              </w:rPr>
              <w:t>Completar inventário de IA</w:t>
            </w:r>
          </w:p>
        </w:tc>
        <w:tc>
          <w:tcPr>
            <w:tcW w:w="4680" w:type="dxa"/>
            <w:tcBorders/>
            <w:vAlign w:val="center"/>
          </w:tcPr>
          <w:p>
            <w:pPr>
              <w:pStyle w:val="TableContents"/>
              <w:suppressLineNumbers/>
              <w:bidi w:val="0"/>
              <w:spacing w:before="0" w:after="40"/>
              <w:ind w:hanging="0" w:start="43" w:end="43"/>
              <w:rPr/>
            </w:pPr>
            <w:r>
              <w:rPr>
                <w:sz w:val="19"/>
              </w:rPr>
              <w:t>Sistemas ativos com proprietário, uso, dados/modelo/fornecedor, nível de risco, avaliação e status validados ÷ sistemas ativos reconciliados</w:t>
            </w:r>
          </w:p>
        </w:tc>
      </w:tr>
      <w:tr>
        <w:trPr>
          <w:cantSplit/>
        </w:trPr>
        <w:tc>
          <w:tcPr>
            <w:tcW w:w="4680" w:type="dxa"/>
            <w:tcBorders/>
            <w:vAlign w:val="center"/>
          </w:tcPr>
          <w:p>
            <w:pPr>
              <w:pStyle w:val="TableContents"/>
              <w:suppressLineNumbers/>
              <w:bidi w:val="0"/>
              <w:spacing w:before="0" w:after="40"/>
              <w:ind w:hanging="0" w:start="43" w:end="43"/>
              <w:rPr/>
            </w:pPr>
            <w:r>
              <w:rPr>
                <w:sz w:val="19"/>
              </w:rPr>
              <w:t>Melhorar tempestividade da avaliação</w:t>
            </w:r>
          </w:p>
        </w:tc>
        <w:tc>
          <w:tcPr>
            <w:tcW w:w="4680" w:type="dxa"/>
            <w:tcBorders/>
            <w:vAlign w:val="center"/>
          </w:tcPr>
          <w:p>
            <w:pPr>
              <w:pStyle w:val="TableContents"/>
              <w:suppressLineNumbers/>
              <w:bidi w:val="0"/>
              <w:spacing w:before="0" w:after="40"/>
              <w:ind w:hanging="0" w:start="43" w:end="43"/>
              <w:rPr/>
            </w:pPr>
            <w:r>
              <w:rPr>
                <w:sz w:val="19"/>
              </w:rPr>
              <w:t>Mediana e dias vencidos desde admissão/mudança material até decisão aprovada de risco e impacto, por nível</w:t>
            </w:r>
          </w:p>
        </w:tc>
      </w:tr>
      <w:tr>
        <w:trPr>
          <w:cantSplit/>
        </w:trPr>
        <w:tc>
          <w:tcPr>
            <w:tcW w:w="4680" w:type="dxa"/>
            <w:tcBorders/>
            <w:vAlign w:val="center"/>
          </w:tcPr>
          <w:p>
            <w:pPr>
              <w:pStyle w:val="TableContents"/>
              <w:suppressLineNumbers/>
              <w:bidi w:val="0"/>
              <w:spacing w:before="0" w:after="40"/>
              <w:ind w:hanging="0" w:start="43" w:end="43"/>
              <w:rPr/>
            </w:pPr>
            <w:r>
              <w:rPr>
                <w:sz w:val="19"/>
              </w:rPr>
              <w:t>Fortalecer avaliação</w:t>
            </w:r>
          </w:p>
        </w:tc>
        <w:tc>
          <w:tcPr>
            <w:tcW w:w="4680" w:type="dxa"/>
            <w:tcBorders/>
            <w:vAlign w:val="center"/>
          </w:tcPr>
          <w:p>
            <w:pPr>
              <w:pStyle w:val="TableContents"/>
              <w:suppressLineNumbers/>
              <w:bidi w:val="0"/>
              <w:spacing w:before="0" w:after="40"/>
              <w:ind w:hanging="0" w:start="43" w:end="43"/>
              <w:rPr/>
            </w:pPr>
            <w:r>
              <w:rPr>
                <w:sz w:val="19"/>
              </w:rPr>
              <w:t>Sistemas de alto impacto que atendem limites definidos e semelhantes à produção, incluindo subgrupos e falhas graves</w:t>
            </w:r>
          </w:p>
        </w:tc>
      </w:tr>
      <w:tr>
        <w:trPr>
          <w:cantSplit/>
        </w:trPr>
        <w:tc>
          <w:tcPr>
            <w:tcW w:w="4680" w:type="dxa"/>
            <w:tcBorders/>
            <w:vAlign w:val="center"/>
          </w:tcPr>
          <w:p>
            <w:pPr>
              <w:pStyle w:val="TableContents"/>
              <w:suppressLineNumbers/>
              <w:bidi w:val="0"/>
              <w:spacing w:before="0" w:after="40"/>
              <w:ind w:hanging="0" w:start="43" w:end="43"/>
              <w:rPr/>
            </w:pPr>
            <w:r>
              <w:rPr>
                <w:sz w:val="19"/>
              </w:rPr>
              <w:t>Melhorar controle de fornecedores</w:t>
            </w:r>
          </w:p>
        </w:tc>
        <w:tc>
          <w:tcPr>
            <w:tcW w:w="4680" w:type="dxa"/>
            <w:tcBorders/>
            <w:vAlign w:val="center"/>
          </w:tcPr>
          <w:p>
            <w:pPr>
              <w:pStyle w:val="TableContents"/>
              <w:suppressLineNumbers/>
              <w:bidi w:val="0"/>
              <w:spacing w:before="0" w:after="40"/>
              <w:ind w:hanging="0" w:start="43" w:end="43"/>
              <w:rPr/>
            </w:pPr>
            <w:r>
              <w:rPr>
                <w:sz w:val="19"/>
              </w:rPr>
              <w:t>Fornecedores críticos de IA com revisão atual e delimitada, obrigações contratuais, evidências e lacunas materiais encerradas ÷ fornecedores críticos</w:t>
            </w:r>
          </w:p>
        </w:tc>
      </w:tr>
      <w:tr>
        <w:trPr>
          <w:cantSplit/>
        </w:trPr>
        <w:tc>
          <w:tcPr>
            <w:tcW w:w="4680" w:type="dxa"/>
            <w:tcBorders/>
            <w:vAlign w:val="center"/>
          </w:tcPr>
          <w:p>
            <w:pPr>
              <w:pStyle w:val="TableContents"/>
              <w:suppressLineNumbers/>
              <w:bidi w:val="0"/>
              <w:spacing w:before="0" w:after="40"/>
              <w:ind w:hanging="0" w:start="43" w:end="43"/>
              <w:rPr/>
            </w:pPr>
            <w:r>
              <w:rPr>
                <w:sz w:val="19"/>
              </w:rPr>
              <w:t>Melhorar remediação</w:t>
            </w:r>
          </w:p>
        </w:tc>
        <w:tc>
          <w:tcPr>
            <w:tcW w:w="4680" w:type="dxa"/>
            <w:tcBorders/>
            <w:vAlign w:val="center"/>
          </w:tcPr>
          <w:p>
            <w:pPr>
              <w:pStyle w:val="TableContents"/>
              <w:suppressLineNumbers/>
              <w:bidi w:val="0"/>
              <w:spacing w:before="0" w:after="40"/>
              <w:ind w:hanging="0" w:start="43" w:end="43"/>
              <w:rPr/>
            </w:pPr>
            <w:r>
              <w:rPr>
                <w:sz w:val="19"/>
              </w:rPr>
              <w:t>Constatações corrigidas e retestadas quanto à eficácia dentro da meta baseada em risco, com idade e impacto das exceções</w:t>
            </w:r>
          </w:p>
        </w:tc>
      </w:tr>
    </w:tbl>
    <w:p>
      <w:pPr>
        <w:pStyle w:val="Heading2"/>
        <w:tabs>
          <w:tab w:val="clear" w:pos="709"/>
          <w:tab w:val="left" w:pos="0" w:leader="none"/>
        </w:tabs>
        <w:bidi w:val="0"/>
        <w:ind w:hanging="0" w:start="0"/>
        <w:jc w:val="left"/>
        <w:rPr/>
        <w:keepNext/>
      </w:pPr>
      <w:bookmarkStart w:id="32" w:name="planejamento-de-mudanças-do-sgia"/>
      <w:r>
        <w:rPr/>
        <w:t>10.2 Planejamento de mudanças do SGIA</w:t>
      </w:r>
      <w:bookmarkEnd w:id="32"/>
    </w:p>
    <w:p>
      <w:pPr>
        <w:pStyle w:val="BodyText"/>
        <w:numPr>
          <w:ilvl w:val="0"/>
          <w:numId w:val="18"/>
        </w:numPr>
        <w:bidi w:val="0"/>
        <w:spacing w:before="0" w:after="0"/>
        <w:rPr/>
      </w:pPr>
      <w:r>
        <w:rPr/>
        <w:t>Defina finalidade, consequências, integridade do SGIA, recursos, responsabilidades, cronograma, transição, comunicação, evidências e rollback.</w:t>
      </w:r>
    </w:p>
    <w:p>
      <w:pPr>
        <w:pStyle w:val="BodyText"/>
        <w:numPr>
          <w:ilvl w:val="0"/>
          <w:numId w:val="18"/>
        </w:numPr>
        <w:bidi w:val="0"/>
        <w:spacing w:before="0" w:after="0"/>
        <w:rPr/>
      </w:pPr>
      <w:r>
        <w:rPr/>
        <w:t>Gatilhos incluem escopo, entidade, produto, uso, modelo, dados, fornecedor, lei, certificação, processo, organização, ferramentas, método de auditoria e objetivos.</w:t>
      </w:r>
    </w:p>
    <w:p>
      <w:pPr>
        <w:pStyle w:val="Heading1"/>
        <w:tabs>
          <w:tab w:val="clear" w:pos="709"/>
          <w:tab w:val="left" w:pos="0" w:leader="none"/>
        </w:tabs>
        <w:bidi w:val="0"/>
        <w:ind w:hanging="0" w:start="0"/>
        <w:jc w:val="left"/>
        <w:rPr/>
        <w:keepNext/>
      </w:pPr>
      <w:bookmarkStart w:id="33" w:name="cláusula-7.1-recursos"/>
      <w:r>
        <w:rPr/>
        <w:t>11. Cláusula 7.1: Recursos</w:t>
      </w:r>
      <w:bookmarkEnd w:id="33"/>
    </w:p>
    <w:p>
      <w:pPr>
        <w:pStyle w:val="Firstparagraph"/>
        <w:bidi w:val="0"/>
        <w:rPr>
          <w:i/>
          <w:iCs/>
        </w:rPr>
      </w:pPr>
      <w:r>
        <w:rPr>
          <w:i/>
          <w:iCs/>
        </w:rPr>
        <w:t>A organização deve determinar e fornecer os recursos necessários para estabelecer, operar, avaliar e melhorar o SGIA.</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Recurso</w:t>
            </w:r>
          </w:p>
        </w:tc>
        <w:tc>
          <w:tcPr>
            <w:tcW w:w="3120" w:type="dxa"/>
            <w:tcBorders/>
            <w:vAlign w:val="center"/>
            <w:shd w:fill="1F4E78"/>
          </w:tcPr>
          <w:p>
            <w:pPr>
              <w:pStyle w:val="TableHeading"/>
              <w:bidi w:val="0"/>
              <w:spacing w:before="0" w:after="40"/>
              <w:rPr>
                <w:b/>
                <w:bCs/>
              </w:rPr>
            </w:pPr>
            <w:r>
              <w:rPr>
                <w:b/>
                <w:bCs/>
                <w:sz w:val="19"/>
                <w:color w:val="FFFFFF"/>
              </w:rPr>
              <w:t>Exemplos</w:t>
            </w:r>
          </w:p>
        </w:tc>
        <w:tc>
          <w:tcPr>
            <w:tcW w:w="3120" w:type="dxa"/>
            <w:tcBorders/>
            <w:vAlign w:val="center"/>
            <w:shd w:fill="1F4E78"/>
          </w:tcPr>
          <w:p>
            <w:pPr>
              <w:pStyle w:val="TableHeading"/>
              <w:bidi w:val="0"/>
              <w:spacing w:before="0" w:after="40"/>
              <w:rPr>
                <w:b/>
                <w:bCs/>
              </w:rPr>
            </w:pPr>
            <w:r>
              <w:rPr>
                <w:b/>
                <w:bCs/>
                <w:sz w:val="19"/>
                <w:color w:val="FFFFFF"/>
              </w:rPr>
              <w:t>Evidência</w:t>
            </w:r>
          </w:p>
        </w:tc>
      </w:tr>
      <w:tr>
        <w:trPr>
          <w:cantSplit/>
        </w:trPr>
        <w:tc>
          <w:tcPr>
            <w:tcW w:w="3120" w:type="dxa"/>
            <w:tcBorders/>
            <w:vAlign w:val="center"/>
          </w:tcPr>
          <w:p>
            <w:pPr>
              <w:pStyle w:val="TableContents"/>
              <w:suppressLineNumbers/>
              <w:bidi w:val="0"/>
              <w:spacing w:before="0" w:after="40"/>
              <w:ind w:hanging="0" w:start="43" w:end="43"/>
              <w:rPr/>
            </w:pPr>
            <w:r>
              <w:rPr>
                <w:sz w:val="19"/>
              </w:rPr>
              <w:t>Pessoas</w:t>
            </w:r>
          </w:p>
        </w:tc>
        <w:tc>
          <w:tcPr>
            <w:tcW w:w="3120" w:type="dxa"/>
            <w:tcBorders/>
            <w:vAlign w:val="center"/>
          </w:tcPr>
          <w:p>
            <w:pPr>
              <w:pStyle w:val="TableContents"/>
              <w:suppressLineNumbers/>
              <w:bidi w:val="0"/>
              <w:spacing w:before="0" w:after="40"/>
              <w:ind w:hanging="0" w:start="43" w:end="43"/>
              <w:rPr/>
            </w:pPr>
            <w:r>
              <w:rPr>
                <w:sz w:val="19"/>
              </w:rPr>
              <w:t>SGIA, domínio, dados, ML, produto, segurança, privacidade, jurídico, segurança funcional, auditoria e fatores humanos</w:t>
            </w:r>
          </w:p>
        </w:tc>
        <w:tc>
          <w:tcPr>
            <w:tcW w:w="3120" w:type="dxa"/>
            <w:tcBorders/>
            <w:vAlign w:val="center"/>
          </w:tcPr>
          <w:p>
            <w:pPr>
              <w:pStyle w:val="TableContents"/>
              <w:suppressLineNumbers/>
              <w:bidi w:val="0"/>
              <w:spacing w:before="0" w:after="40"/>
              <w:ind w:hanging="0" w:start="43" w:end="43"/>
              <w:rPr/>
            </w:pPr>
            <w:r>
              <w:rPr>
                <w:sz w:val="19"/>
              </w:rPr>
              <w:t>Plano de capacidade, papéis, competência, independência e carga de trabalho</w:t>
            </w:r>
          </w:p>
        </w:tc>
      </w:tr>
      <w:tr>
        <w:trPr>
          <w:cantSplit/>
        </w:trPr>
        <w:tc>
          <w:tcPr>
            <w:tcW w:w="3120" w:type="dxa"/>
            <w:tcBorders/>
            <w:vAlign w:val="center"/>
          </w:tcPr>
          <w:p>
            <w:pPr>
              <w:pStyle w:val="TableContents"/>
              <w:suppressLineNumbers/>
              <w:bidi w:val="0"/>
              <w:spacing w:before="0" w:after="40"/>
              <w:ind w:hanging="0" w:start="43" w:end="43"/>
              <w:rPr/>
            </w:pPr>
            <w:r>
              <w:rPr>
                <w:sz w:val="19"/>
              </w:rPr>
              <w:t>Dados</w:t>
            </w:r>
          </w:p>
        </w:tc>
        <w:tc>
          <w:tcPr>
            <w:tcW w:w="3120" w:type="dxa"/>
            <w:tcBorders/>
            <w:vAlign w:val="center"/>
          </w:tcPr>
          <w:p>
            <w:pPr>
              <w:pStyle w:val="TableContents"/>
              <w:suppressLineNumbers/>
              <w:bidi w:val="0"/>
              <w:spacing w:before="0" w:after="40"/>
              <w:ind w:hanging="0" w:start="43" w:end="43"/>
              <w:rPr/>
            </w:pPr>
            <w:r>
              <w:rPr>
                <w:sz w:val="19"/>
              </w:rPr>
              <w:t>Treinamento/validação/teste/produção, rótulos, metadados, direitos e conjuntos de referência</w:t>
            </w:r>
          </w:p>
        </w:tc>
        <w:tc>
          <w:tcPr>
            <w:tcW w:w="3120" w:type="dxa"/>
            <w:tcBorders/>
            <w:vAlign w:val="center"/>
          </w:tcPr>
          <w:p>
            <w:pPr>
              <w:pStyle w:val="TableContents"/>
              <w:suppressLineNumbers/>
              <w:bidi w:val="0"/>
              <w:spacing w:before="0" w:after="40"/>
              <w:ind w:hanging="0" w:start="43" w:end="43"/>
              <w:rPr/>
            </w:pPr>
            <w:r>
              <w:rPr>
                <w:sz w:val="19"/>
              </w:rPr>
              <w:t>Inventário, linhagem, qualidade, acesso, retenção e proveniência</w:t>
            </w:r>
          </w:p>
        </w:tc>
      </w:tr>
      <w:tr>
        <w:trPr>
          <w:cantSplit/>
        </w:trPr>
        <w:tc>
          <w:tcPr>
            <w:tcW w:w="3120" w:type="dxa"/>
            <w:tcBorders/>
            <w:vAlign w:val="center"/>
          </w:tcPr>
          <w:p>
            <w:pPr>
              <w:pStyle w:val="TableContents"/>
              <w:suppressLineNumbers/>
              <w:bidi w:val="0"/>
              <w:spacing w:before="0" w:after="40"/>
              <w:ind w:hanging="0" w:start="43" w:end="43"/>
              <w:rPr/>
            </w:pPr>
            <w:r>
              <w:rPr>
                <w:sz w:val="19"/>
              </w:rPr>
              <w:t>Ferramentas</w:t>
            </w:r>
          </w:p>
        </w:tc>
        <w:tc>
          <w:tcPr>
            <w:tcW w:w="3120" w:type="dxa"/>
            <w:tcBorders/>
            <w:vAlign w:val="center"/>
          </w:tcPr>
          <w:p>
            <w:pPr>
              <w:pStyle w:val="TableContents"/>
              <w:suppressLineNumbers/>
              <w:bidi w:val="0"/>
              <w:spacing w:before="0" w:after="40"/>
              <w:ind w:hanging="0" w:start="43" w:end="43"/>
              <w:rPr/>
            </w:pPr>
            <w:r>
              <w:rPr>
                <w:sz w:val="19"/>
              </w:rPr>
              <w:t>Desenvolvimento, anotação, avaliação, monitoramento, segurança e documentação</w:t>
            </w:r>
          </w:p>
        </w:tc>
        <w:tc>
          <w:tcPr>
            <w:tcW w:w="3120" w:type="dxa"/>
            <w:tcBorders/>
            <w:vAlign w:val="center"/>
          </w:tcPr>
          <w:p>
            <w:pPr>
              <w:pStyle w:val="TableContents"/>
              <w:suppressLineNumbers/>
              <w:bidi w:val="0"/>
              <w:spacing w:before="0" w:after="40"/>
              <w:ind w:hanging="0" w:start="43" w:end="43"/>
              <w:rPr/>
            </w:pPr>
            <w:r>
              <w:rPr>
                <w:sz w:val="19"/>
              </w:rPr>
              <w:t>Inventário aprovado, versões, validação, acesso e suporte</w:t>
            </w:r>
          </w:p>
        </w:tc>
      </w:tr>
      <w:tr>
        <w:trPr>
          <w:cantSplit/>
        </w:trPr>
        <w:tc>
          <w:tcPr>
            <w:tcW w:w="3120" w:type="dxa"/>
            <w:tcBorders/>
            <w:vAlign w:val="center"/>
          </w:tcPr>
          <w:p>
            <w:pPr>
              <w:pStyle w:val="TableContents"/>
              <w:suppressLineNumbers/>
              <w:bidi w:val="0"/>
              <w:spacing w:before="0" w:after="40"/>
              <w:ind w:hanging="0" w:start="43" w:end="43"/>
              <w:rPr/>
            </w:pPr>
            <w:r>
              <w:rPr>
                <w:sz w:val="19"/>
              </w:rPr>
              <w:t>Computação/sistema</w:t>
            </w:r>
          </w:p>
        </w:tc>
        <w:tc>
          <w:tcPr>
            <w:tcW w:w="3120" w:type="dxa"/>
            <w:tcBorders/>
            <w:vAlign w:val="center"/>
          </w:tcPr>
          <w:p>
            <w:pPr>
              <w:pStyle w:val="TableContents"/>
              <w:suppressLineNumbers/>
              <w:bidi w:val="0"/>
              <w:spacing w:before="0" w:after="40"/>
              <w:ind w:hanging="0" w:start="43" w:end="43"/>
              <w:rPr/>
            </w:pPr>
            <w:r>
              <w:rPr>
                <w:sz w:val="19"/>
              </w:rPr>
              <w:t>Nuvem/local/borda, armazenamento, rede, registro, logging e sandbox</w:t>
            </w:r>
          </w:p>
        </w:tc>
        <w:tc>
          <w:tcPr>
            <w:tcW w:w="3120" w:type="dxa"/>
            <w:tcBorders/>
            <w:vAlign w:val="center"/>
          </w:tcPr>
          <w:p>
            <w:pPr>
              <w:pStyle w:val="TableContents"/>
              <w:suppressLineNumbers/>
              <w:bidi w:val="0"/>
              <w:spacing w:before="0" w:after="40"/>
              <w:ind w:hanging="0" w:start="43" w:end="43"/>
              <w:rPr/>
            </w:pPr>
            <w:r>
              <w:rPr>
                <w:sz w:val="19"/>
              </w:rPr>
              <w:t>Arquitetura, propriedade, capacidade, resiliência e impacto ambiental</w:t>
            </w:r>
          </w:p>
        </w:tc>
      </w:tr>
      <w:tr>
        <w:trPr>
          <w:cantSplit/>
        </w:trPr>
        <w:tc>
          <w:tcPr>
            <w:tcW w:w="3120" w:type="dxa"/>
            <w:tcBorders/>
            <w:vAlign w:val="center"/>
          </w:tcPr>
          <w:p>
            <w:pPr>
              <w:pStyle w:val="TableContents"/>
              <w:suppressLineNumbers/>
              <w:bidi w:val="0"/>
              <w:spacing w:before="0" w:after="40"/>
              <w:ind w:hanging="0" w:start="43" w:end="43"/>
              <w:rPr/>
            </w:pPr>
            <w:r>
              <w:rPr>
                <w:sz w:val="19"/>
              </w:rPr>
              <w:t>Finanças/tempo</w:t>
            </w:r>
          </w:p>
        </w:tc>
        <w:tc>
          <w:tcPr>
            <w:tcW w:w="3120" w:type="dxa"/>
            <w:tcBorders/>
            <w:vAlign w:val="center"/>
          </w:tcPr>
          <w:p>
            <w:pPr>
              <w:pStyle w:val="TableContents"/>
              <w:suppressLineNumbers/>
              <w:bidi w:val="0"/>
              <w:spacing w:before="0" w:after="40"/>
              <w:ind w:hanging="0" w:start="43" w:end="43"/>
              <w:rPr/>
            </w:pPr>
            <w:r>
              <w:rPr>
                <w:sz w:val="19"/>
              </w:rPr>
              <w:t>Orçamento, custo de avaliação, revisão de fornecedores, participação de partes e remediação</w:t>
            </w:r>
          </w:p>
        </w:tc>
        <w:tc>
          <w:tcPr>
            <w:tcW w:w="3120" w:type="dxa"/>
            <w:tcBorders/>
            <w:vAlign w:val="center"/>
          </w:tcPr>
          <w:p>
            <w:pPr>
              <w:pStyle w:val="TableContents"/>
              <w:suppressLineNumbers/>
              <w:bidi w:val="0"/>
              <w:spacing w:before="0" w:after="40"/>
              <w:ind w:hanging="0" w:start="43" w:end="43"/>
              <w:rPr/>
            </w:pPr>
            <w:r>
              <w:rPr>
                <w:sz w:val="19"/>
              </w:rPr>
              <w:t>Planos, aprovações, realizados, restrições e decisões</w:t>
            </w:r>
          </w:p>
        </w:tc>
      </w:tr>
    </w:tbl>
    <w:p>
      <w:pPr>
        <w:pStyle w:val="Heading2"/>
        <w:tabs>
          <w:tab w:val="clear" w:pos="709"/>
          <w:tab w:val="left" w:pos="0" w:leader="none"/>
        </w:tabs>
        <w:bidi w:val="0"/>
        <w:ind w:hanging="0" w:start="0"/>
        <w:jc w:val="left"/>
        <w:rPr/>
        <w:keepNext/>
      </w:pPr>
      <w:bookmarkStart w:id="34" w:name="decisões-sobre-recursos"/>
      <w:r>
        <w:rPr/>
        <w:t>11.1 Decisões sobre recursos</w:t>
      </w:r>
      <w:bookmarkEnd w:id="34"/>
    </w:p>
    <w:p>
      <w:pPr>
        <w:pStyle w:val="BodyText"/>
        <w:numPr>
          <w:ilvl w:val="0"/>
          <w:numId w:val="19"/>
        </w:numPr>
        <w:bidi w:val="0"/>
        <w:spacing w:before="0" w:after="0"/>
        <w:rPr/>
      </w:pPr>
      <w:r>
        <w:rPr/>
        <w:t>Ajuste a profundidade dos recursos ao escopo, risco, complexidade do sistema, escala, deveres legais e pessoas afetadas.</w:t>
      </w:r>
    </w:p>
    <w:p>
      <w:pPr>
        <w:pStyle w:val="BodyText"/>
        <w:numPr>
          <w:ilvl w:val="0"/>
          <w:numId w:val="19"/>
        </w:numPr>
        <w:bidi w:val="0"/>
        <w:spacing w:before="0" w:after="0"/>
        <w:rPr/>
      </w:pPr>
      <w:r>
        <w:rPr/>
        <w:t>Separe desenvolvimento, validação, aprovação e auditoria o suficiente para gerenciar conflitos de interesse.</w:t>
      </w:r>
    </w:p>
    <w:p>
      <w:pPr>
        <w:pStyle w:val="BodyText"/>
        <w:numPr>
          <w:ilvl w:val="0"/>
          <w:numId w:val="19"/>
        </w:numPr>
        <w:bidi w:val="0"/>
        <w:spacing w:before="0" w:after="0"/>
        <w:rPr/>
      </w:pPr>
      <w:r>
        <w:rPr/>
        <w:t>Monitore sobrecarga de revisores, cobertura de avaliação, lacunas de dados, limites de fornecedores, licenças vencendo, descontinuação de modelos e dívida técnica.</w:t>
      </w:r>
    </w:p>
    <w:p>
      <w:pPr>
        <w:pStyle w:val="BodyText"/>
        <w:numPr>
          <w:ilvl w:val="0"/>
          <w:numId w:val="19"/>
        </w:numPr>
        <w:bidi w:val="0"/>
        <w:spacing w:before="0" w:after="0"/>
        <w:rPr/>
      </w:pPr>
      <w:r>
        <w:rPr/>
        <w:t>Documente restrições aceitas e seu efeito sobre objetivos e risco residual.</w:t>
      </w:r>
    </w:p>
    <w:p>
      <w:pPr>
        <w:pStyle w:val="Heading1"/>
        <w:tabs>
          <w:tab w:val="clear" w:pos="709"/>
          <w:tab w:val="left" w:pos="0" w:leader="none"/>
        </w:tabs>
        <w:bidi w:val="0"/>
        <w:ind w:hanging="0" w:start="0"/>
        <w:jc w:val="left"/>
        <w:rPr/>
        <w:keepNext/>
      </w:pPr>
      <w:bookmarkStart w:id="35" w:name="cláusulas-7.27.4-competência-conscientiz"/>
      <w:r>
        <w:rPr/>
        <w:t>12. Cláusulas 7.2–7.4: Competência, conscientização e comunicação</w:t>
      </w:r>
      <w:bookmarkEnd w:id="35"/>
    </w:p>
    <w:p>
      <w:pPr>
        <w:pStyle w:val="Firstparagraph"/>
        <w:bidi w:val="0"/>
        <w:rPr>
          <w:i/>
          <w:iCs/>
        </w:rPr>
      </w:pPr>
      <w:r>
        <w:rPr>
          <w:i/>
          <w:iCs/>
        </w:rPr>
        <w:t>Competência, conscientização e comunicação tornam políticas e controles utilizáveis em decisões reais.</w:t>
      </w:r>
    </w:p>
    <w:p>
      <w:pPr>
        <w:pStyle w:val="Heading2"/>
        <w:tabs>
          <w:tab w:val="clear" w:pos="709"/>
          <w:tab w:val="left" w:pos="0" w:leader="none"/>
        </w:tabs>
        <w:bidi w:val="0"/>
        <w:ind w:hanging="0" w:start="0"/>
        <w:jc w:val="left"/>
        <w:rPr/>
        <w:keepNext/>
      </w:pPr>
      <w:bookmarkStart w:id="36" w:name="competência"/>
      <w:r>
        <w:rPr/>
        <w:t>12.1 Competência</w:t>
      </w:r>
      <w:bookmarkEnd w:id="36"/>
    </w:p>
    <w:p>
      <w:pPr>
        <w:pStyle w:val="BodyText"/>
        <w:numPr>
          <w:ilvl w:val="0"/>
          <w:numId w:val="20"/>
        </w:numPr>
        <w:bidi w:val="0"/>
        <w:spacing w:before="0" w:after="0"/>
        <w:rPr/>
      </w:pPr>
      <w:r>
        <w:rPr/>
        <w:t>Defina educação, treinamento, habilidade, experiência, independência, comportamento e autoridade necessários por papel e nível de risco.</w:t>
      </w:r>
    </w:p>
    <w:p>
      <w:pPr>
        <w:pStyle w:val="BodyText"/>
        <w:numPr>
          <w:ilvl w:val="0"/>
          <w:numId w:val="20"/>
        </w:numPr>
        <w:bidi w:val="0"/>
        <w:spacing w:before="0" w:after="0"/>
        <w:rPr/>
      </w:pPr>
      <w:r>
        <w:rPr/>
        <w:t>Avalie a competência atual; forneça treinamento, mentoria, prática supervisionada, apoio especializado ou realocação.</w:t>
      </w:r>
    </w:p>
    <w:p>
      <w:pPr>
        <w:pStyle w:val="BodyText"/>
        <w:numPr>
          <w:ilvl w:val="0"/>
          <w:numId w:val="20"/>
        </w:numPr>
        <w:bidi w:val="0"/>
        <w:spacing w:before="0" w:after="0"/>
        <w:rPr/>
      </w:pPr>
      <w:r>
        <w:rPr/>
        <w:t>Avalie eficácia por observação, revisão do produto de trabalho, exercícios de cenário, testes e resultados — não apenas presença.</w:t>
      </w:r>
    </w:p>
    <w:p>
      <w:pPr>
        <w:pStyle w:val="BodyText"/>
        <w:numPr>
          <w:ilvl w:val="0"/>
          <w:numId w:val="20"/>
        </w:numPr>
        <w:bidi w:val="0"/>
        <w:spacing w:before="0" w:after="0"/>
        <w:rPr/>
      </w:pPr>
      <w:r>
        <w:rPr/>
        <w:t>Preserve evidências e reavalie após mudanças de papel, sistema, risco, lei, método ou incidente.</w:t>
      </w:r>
    </w:p>
    <w:p>
      <w:pPr>
        <w:pStyle w:val="Heading2"/>
        <w:tabs>
          <w:tab w:val="clear" w:pos="709"/>
          <w:tab w:val="left" w:pos="0" w:leader="none"/>
        </w:tabs>
        <w:bidi w:val="0"/>
        <w:ind w:hanging="0" w:start="0"/>
        <w:jc w:val="left"/>
        <w:rPr/>
        <w:keepNext/>
      </w:pPr>
      <w:bookmarkStart w:id="37" w:name="conscientização"/>
      <w:r>
        <w:rPr/>
        <w:t>12.2 Conscientização</w:t>
      </w:r>
      <w:bookmarkEnd w:id="37"/>
    </w:p>
    <w:p>
      <w:pPr>
        <w:pStyle w:val="BodyText"/>
        <w:numPr>
          <w:ilvl w:val="0"/>
          <w:numId w:val="21"/>
        </w:numPr>
        <w:bidi w:val="0"/>
        <w:spacing w:before="0" w:after="0"/>
        <w:rPr/>
      </w:pPr>
      <w:r>
        <w:rPr/>
        <w:t>As pessoas entendem a política, sua contribuição, benefícios de melhoria de desempenho, consequências da não conformidade, canal de preocupações e escalonamento.</w:t>
      </w:r>
    </w:p>
    <w:p>
      <w:pPr>
        <w:pStyle w:val="BodyText"/>
        <w:numPr>
          <w:ilvl w:val="0"/>
          <w:numId w:val="21"/>
        </w:numPr>
        <w:bidi w:val="0"/>
        <w:spacing w:before="0" w:after="0"/>
        <w:rPr/>
      </w:pPr>
      <w:r>
        <w:rPr/>
        <w:t>Usuários entendem uso aprovado/proibido, restrições de dados, verificação, supervisão humana, limitações, tratamento de incidentes/reclamações e condições de interrupção.</w:t>
      </w:r>
    </w:p>
    <w:p>
      <w:pPr>
        <w:pStyle w:val="Heading2"/>
        <w:tabs>
          <w:tab w:val="clear" w:pos="709"/>
          <w:tab w:val="left" w:pos="0" w:leader="none"/>
        </w:tabs>
        <w:bidi w:val="0"/>
        <w:ind w:hanging="0" w:start="0"/>
        <w:jc w:val="left"/>
        <w:rPr/>
        <w:keepNext/>
      </w:pPr>
      <w:bookmarkStart w:id="38" w:name="plano-de-comunicação"/>
      <w:r>
        <w:rPr/>
        <w:t>12.3 Plano de comunicação</w:t>
      </w:r>
      <w:bookmarkEnd w:id="38"/>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Pergunta</w:t>
            </w:r>
          </w:p>
        </w:tc>
      </w:tr>
      <w:tr>
        <w:trPr>
          <w:cantSplit/>
        </w:trPr>
        <w:tc>
          <w:tcPr>
            <w:tcW w:w="4680" w:type="dxa"/>
            <w:tcBorders/>
            <w:vAlign w:val="center"/>
          </w:tcPr>
          <w:p>
            <w:pPr>
              <w:pStyle w:val="TableContents"/>
              <w:suppressLineNumbers/>
              <w:bidi w:val="0"/>
              <w:spacing w:before="0" w:after="40"/>
              <w:ind w:hanging="0" w:start="43" w:end="43"/>
              <w:rPr/>
            </w:pPr>
            <w:r>
              <w:rPr>
                <w:sz w:val="19"/>
              </w:rPr>
              <w:t>O quê</w:t>
            </w:r>
          </w:p>
        </w:tc>
        <w:tc>
          <w:tcPr>
            <w:tcW w:w="4680" w:type="dxa"/>
            <w:tcBorders/>
            <w:vAlign w:val="center"/>
          </w:tcPr>
          <w:p>
            <w:pPr>
              <w:pStyle w:val="TableContents"/>
              <w:suppressLineNumbers/>
              <w:bidi w:val="0"/>
              <w:spacing w:before="0" w:after="40"/>
              <w:ind w:hanging="0" w:start="43" w:end="43"/>
              <w:rPr/>
            </w:pPr>
            <w:r>
              <w:rPr>
                <w:sz w:val="19"/>
              </w:rPr>
              <w:t>Política, sistema/uso, limites, impactos, incidentes, resultados, mudanças e deveres</w:t>
            </w:r>
          </w:p>
        </w:tc>
      </w:tr>
      <w:tr>
        <w:trPr>
          <w:cantSplit/>
        </w:trPr>
        <w:tc>
          <w:tcPr>
            <w:tcW w:w="4680" w:type="dxa"/>
            <w:tcBorders/>
            <w:vAlign w:val="center"/>
          </w:tcPr>
          <w:p>
            <w:pPr>
              <w:pStyle w:val="TableContents"/>
              <w:suppressLineNumbers/>
              <w:bidi w:val="0"/>
              <w:spacing w:before="0" w:after="40"/>
              <w:ind w:hanging="0" w:start="43" w:end="43"/>
              <w:rPr/>
            </w:pPr>
            <w:r>
              <w:rPr>
                <w:sz w:val="19"/>
              </w:rPr>
              <w:t>Por quê/público</w:t>
            </w:r>
          </w:p>
        </w:tc>
        <w:tc>
          <w:tcPr>
            <w:tcW w:w="4680" w:type="dxa"/>
            <w:tcBorders/>
            <w:vAlign w:val="center"/>
          </w:tcPr>
          <w:p>
            <w:pPr>
              <w:pStyle w:val="TableContents"/>
              <w:suppressLineNumbers/>
              <w:bidi w:val="0"/>
              <w:spacing w:before="0" w:after="40"/>
              <w:ind w:hanging="0" w:start="43" w:end="43"/>
              <w:rPr/>
            </w:pPr>
            <w:r>
              <w:rPr>
                <w:sz w:val="19"/>
              </w:rPr>
              <w:t>Tomador de decisão, trabalhador, usuário, pessoa afetada, cliente, fornecedor, regulador ou público</w:t>
            </w:r>
          </w:p>
        </w:tc>
      </w:tr>
      <w:tr>
        <w:trPr>
          <w:cantSplit/>
        </w:trPr>
        <w:tc>
          <w:tcPr>
            <w:tcW w:w="4680" w:type="dxa"/>
            <w:tcBorders/>
            <w:vAlign w:val="center"/>
          </w:tcPr>
          <w:p>
            <w:pPr>
              <w:pStyle w:val="TableContents"/>
              <w:suppressLineNumbers/>
              <w:bidi w:val="0"/>
              <w:spacing w:before="0" w:after="40"/>
              <w:ind w:hanging="0" w:start="43" w:end="43"/>
              <w:rPr/>
            </w:pPr>
            <w:r>
              <w:rPr>
                <w:sz w:val="19"/>
              </w:rPr>
              <w:t>Quando</w:t>
            </w:r>
          </w:p>
        </w:tc>
        <w:tc>
          <w:tcPr>
            <w:tcW w:w="4680" w:type="dxa"/>
            <w:tcBorders/>
            <w:vAlign w:val="center"/>
          </w:tcPr>
          <w:p>
            <w:pPr>
              <w:pStyle w:val="TableContents"/>
              <w:suppressLineNumbers/>
              <w:bidi w:val="0"/>
              <w:spacing w:before="0" w:after="40"/>
              <w:ind w:hanging="0" w:start="43" w:end="43"/>
              <w:rPr/>
            </w:pPr>
            <w:r>
              <w:rPr>
                <w:sz w:val="19"/>
              </w:rPr>
              <w:t>Marco do ciclo de vida, intervalo planejado, incidente, reclamação, mudança ou gatilho legal</w:t>
            </w:r>
          </w:p>
        </w:tc>
      </w:tr>
      <w:tr>
        <w:trPr>
          <w:cantSplit/>
        </w:trPr>
        <w:tc>
          <w:tcPr>
            <w:tcW w:w="4680" w:type="dxa"/>
            <w:tcBorders/>
            <w:vAlign w:val="center"/>
          </w:tcPr>
          <w:p>
            <w:pPr>
              <w:pStyle w:val="TableContents"/>
              <w:suppressLineNumbers/>
              <w:bidi w:val="0"/>
              <w:spacing w:before="0" w:after="40"/>
              <w:ind w:hanging="0" w:start="43" w:end="43"/>
              <w:rPr/>
            </w:pPr>
            <w:r>
              <w:rPr>
                <w:sz w:val="19"/>
              </w:rPr>
              <w:t>Como</w:t>
            </w:r>
          </w:p>
        </w:tc>
        <w:tc>
          <w:tcPr>
            <w:tcW w:w="4680" w:type="dxa"/>
            <w:tcBorders/>
            <w:vAlign w:val="center"/>
          </w:tcPr>
          <w:p>
            <w:pPr>
              <w:pStyle w:val="TableContents"/>
              <w:suppressLineNumbers/>
              <w:bidi w:val="0"/>
              <w:spacing w:before="0" w:after="40"/>
              <w:ind w:hanging="0" w:start="43" w:end="43"/>
              <w:rPr/>
            </w:pPr>
            <w:r>
              <w:rPr>
                <w:sz w:val="19"/>
              </w:rPr>
              <w:t>Treinamento, aviso, ficha do sistema, relatório, contrato, painel, reunião ou alerta</w:t>
            </w:r>
          </w:p>
        </w:tc>
      </w:tr>
      <w:tr>
        <w:trPr>
          <w:cantSplit/>
        </w:trPr>
        <w:tc>
          <w:tcPr>
            <w:tcW w:w="4680" w:type="dxa"/>
            <w:tcBorders/>
            <w:vAlign w:val="center"/>
          </w:tcPr>
          <w:p>
            <w:pPr>
              <w:pStyle w:val="TableContents"/>
              <w:suppressLineNumbers/>
              <w:bidi w:val="0"/>
              <w:spacing w:before="0" w:after="40"/>
              <w:ind w:hanging="0" w:start="43" w:end="43"/>
              <w:rPr/>
            </w:pPr>
            <w:r>
              <w:rPr>
                <w:sz w:val="19"/>
              </w:rPr>
              <w:t>Proprietário/aprovação</w:t>
            </w:r>
          </w:p>
        </w:tc>
        <w:tc>
          <w:tcPr>
            <w:tcW w:w="4680" w:type="dxa"/>
            <w:tcBorders/>
            <w:vAlign w:val="center"/>
          </w:tcPr>
          <w:p>
            <w:pPr>
              <w:pStyle w:val="TableContents"/>
              <w:suppressLineNumbers/>
              <w:bidi w:val="0"/>
              <w:spacing w:before="0" w:after="40"/>
              <w:ind w:hanging="0" w:start="43" w:end="43"/>
              <w:rPr/>
            </w:pPr>
            <w:r>
              <w:rPr>
                <w:sz w:val="19"/>
              </w:rPr>
              <w:t>Quem prepara, valida, aprova, entrega e registra?</w:t>
            </w:r>
          </w:p>
        </w:tc>
      </w:tr>
      <w:tr>
        <w:trPr>
          <w:cantSplit/>
        </w:trPr>
        <w:tc>
          <w:tcPr>
            <w:tcW w:w="4680" w:type="dxa"/>
            <w:tcBorders/>
            <w:vAlign w:val="center"/>
          </w:tcPr>
          <w:p>
            <w:pPr>
              <w:pStyle w:val="TableContents"/>
              <w:suppressLineNumbers/>
              <w:bidi w:val="0"/>
              <w:spacing w:before="0" w:after="40"/>
              <w:ind w:hanging="0" w:start="43" w:end="43"/>
              <w:rPr/>
            </w:pPr>
            <w:r>
              <w:rPr>
                <w:sz w:val="19"/>
              </w:rPr>
              <w:t>Retorno</w:t>
            </w:r>
          </w:p>
        </w:tc>
        <w:tc>
          <w:tcPr>
            <w:tcW w:w="4680" w:type="dxa"/>
            <w:tcBorders/>
            <w:vAlign w:val="center"/>
          </w:tcPr>
          <w:p>
            <w:pPr>
              <w:pStyle w:val="TableContents"/>
              <w:suppressLineNumbers/>
              <w:bidi w:val="0"/>
              <w:spacing w:before="0" w:after="40"/>
              <w:ind w:hanging="0" w:start="43" w:end="43"/>
              <w:rPr/>
            </w:pPr>
            <w:r>
              <w:rPr>
                <w:sz w:val="19"/>
              </w:rPr>
              <w:t>Como são tratados dúvidas, acessibilidade, compreensão, preocupações e correção?</w:t>
            </w:r>
          </w:p>
        </w:tc>
      </w:tr>
    </w:tbl>
    <w:p>
      <w:pPr>
        <w:pStyle w:val="Heading1"/>
        <w:tabs>
          <w:tab w:val="clear" w:pos="709"/>
          <w:tab w:val="left" w:pos="0" w:leader="none"/>
        </w:tabs>
        <w:bidi w:val="0"/>
        <w:ind w:hanging="0" w:start="0"/>
        <w:jc w:val="left"/>
        <w:rPr/>
        <w:keepNext/>
      </w:pPr>
      <w:bookmarkStart w:id="39" w:name="cláusula-7.5-informação-documentada"/>
      <w:r>
        <w:rPr/>
        <w:t>13. Cláusula 7.5: Informação documentada</w:t>
      </w:r>
      <w:bookmarkEnd w:id="39"/>
    </w:p>
    <w:p>
      <w:pPr>
        <w:pStyle w:val="Firstparagraph"/>
        <w:bidi w:val="0"/>
        <w:rPr>
          <w:i/>
          <w:iCs/>
        </w:rPr>
      </w:pPr>
      <w:r>
        <w:rPr>
          <w:i/>
          <w:iCs/>
        </w:rPr>
        <w:t>A informação documentada deve ser controlada o suficiente para ser confiável, localizável, protegida, atual, retida e utilizável.</w:t>
      </w:r>
    </w:p>
    <w:p>
      <w:pPr>
        <w:pStyle w:val="Heading2"/>
        <w:tabs>
          <w:tab w:val="clear" w:pos="709"/>
          <w:tab w:val="left" w:pos="0" w:leader="none"/>
        </w:tabs>
        <w:bidi w:val="0"/>
        <w:ind w:hanging="0" w:start="0"/>
        <w:jc w:val="left"/>
        <w:rPr/>
        <w:keepNext/>
      </w:pPr>
      <w:bookmarkStart w:id="40" w:name="ciclo-de-vida-do-controle-documental"/>
      <w:r>
        <w:rPr/>
        <w:t>13.1 Ciclo de vida do controle documental</w:t>
      </w:r>
      <w:bookmarkEnd w:id="40"/>
    </w:p>
    <w:p>
      <w:pPr>
        <w:pStyle w:val="BodyText"/>
        <w:numPr>
          <w:ilvl w:val="0"/>
          <w:numId w:val="22"/>
        </w:numPr>
        <w:bidi w:val="0"/>
        <w:spacing w:before="0" w:after="0"/>
        <w:rPr/>
      </w:pPr>
      <w:r>
        <w:rPr/>
        <w:t>Criar/identificar: título, proprietário, ID, versão, data, formato, classificação, escopo, sistema/modelo/dados relacionados e aprovação.</w:t>
      </w:r>
    </w:p>
    <w:p>
      <w:pPr>
        <w:pStyle w:val="BodyText"/>
        <w:numPr>
          <w:ilvl w:val="0"/>
          <w:numId w:val="22"/>
        </w:numPr>
        <w:bidi w:val="0"/>
        <w:spacing w:before="0" w:after="0"/>
        <w:rPr/>
      </w:pPr>
      <w:r>
        <w:rPr/>
        <w:t>Revisar/aprovar: revisor competente, conflitos, critérios, comentários, disposição e autorização.</w:t>
      </w:r>
    </w:p>
    <w:p>
      <w:pPr>
        <w:pStyle w:val="BodyText"/>
        <w:numPr>
          <w:ilvl w:val="0"/>
          <w:numId w:val="22"/>
        </w:numPr>
        <w:bidi w:val="0"/>
        <w:spacing w:before="0" w:after="0"/>
        <w:rPr/>
      </w:pPr>
      <w:r>
        <w:rPr/>
        <w:t>Publicar/utilizar: público correto, acesso, treinamento, data de vigência, disponibilidade no ponto de uso e retirada de versões obsoletas.</w:t>
      </w:r>
    </w:p>
    <w:p>
      <w:pPr>
        <w:pStyle w:val="BodyText"/>
        <w:numPr>
          <w:ilvl w:val="0"/>
          <w:numId w:val="22"/>
        </w:numPr>
        <w:bidi w:val="0"/>
        <w:spacing w:before="0" w:after="0"/>
        <w:rPr/>
      </w:pPr>
      <w:r>
        <w:rPr/>
        <w:t>Alterar: motivo, requisitos/processos/sistemas afetados, aprovações, histórico de versões, transição e rollback.</w:t>
      </w:r>
    </w:p>
    <w:p>
      <w:pPr>
        <w:pStyle w:val="BodyText"/>
        <w:numPr>
          <w:ilvl w:val="0"/>
          <w:numId w:val="22"/>
        </w:numPr>
        <w:bidi w:val="0"/>
        <w:spacing w:before="0" w:after="0"/>
        <w:rPr/>
      </w:pPr>
      <w:r>
        <w:rPr/>
        <w:t>Proteger: confidencialidade, integridade, disponibilidade, privacidade, segurança, backup, recuperação e preservação de evidências.</w:t>
      </w:r>
    </w:p>
    <w:p>
      <w:pPr>
        <w:pStyle w:val="BodyText"/>
        <w:numPr>
          <w:ilvl w:val="0"/>
          <w:numId w:val="22"/>
        </w:numPr>
        <w:bidi w:val="0"/>
        <w:spacing w:before="0" w:after="0"/>
        <w:rPr/>
      </w:pPr>
      <w:r>
        <w:rPr/>
        <w:t>Reter/descartar: período legal/comercial, retenções, arquivo, exclusão, cópias de fornecedores, dados derivados e verificação.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Registros exigidos/importantes</w:t>
            </w:r>
          </w:p>
        </w:tc>
        <w:tc>
          <w:tcPr>
            <w:tcW w:w="4680" w:type="dxa"/>
            <w:tcBorders/>
            <w:vAlign w:val="center"/>
            <w:shd w:fill="1F4E78"/>
          </w:tcPr>
          <w:p>
            <w:pPr>
              <w:pStyle w:val="TableHeading"/>
              <w:bidi w:val="0"/>
              <w:spacing w:before="0" w:after="40"/>
              <w:rPr>
                <w:b/>
                <w:bCs/>
              </w:rPr>
            </w:pPr>
            <w:r>
              <w:rPr>
                <w:b/>
                <w:bCs/>
                <w:sz w:val="19"/>
                <w:color w:val="FFFFFF"/>
              </w:rPr>
              <w:t>Exemplo</w:t>
            </w:r>
          </w:p>
        </w:tc>
      </w:tr>
      <w:tr>
        <w:trPr>
          <w:cantSplit/>
        </w:trPr>
        <w:tc>
          <w:tcPr>
            <w:tcW w:w="4680" w:type="dxa"/>
            <w:tcBorders/>
            <w:vAlign w:val="center"/>
          </w:tcPr>
          <w:p>
            <w:pPr>
              <w:pStyle w:val="TableContents"/>
              <w:suppressLineNumbers/>
              <w:bidi w:val="0"/>
              <w:spacing w:before="0" w:after="40"/>
              <w:ind w:hanging="0" w:start="43" w:end="43"/>
              <w:rPr/>
            </w:pPr>
            <w:r>
              <w:rPr>
                <w:sz w:val="19"/>
              </w:rPr>
              <w:t>Base do SGIA</w:t>
            </w:r>
          </w:p>
        </w:tc>
        <w:tc>
          <w:tcPr>
            <w:tcW w:w="4680" w:type="dxa"/>
            <w:tcBorders/>
            <w:vAlign w:val="center"/>
          </w:tcPr>
          <w:p>
            <w:pPr>
              <w:pStyle w:val="TableContents"/>
              <w:suppressLineNumbers/>
              <w:bidi w:val="0"/>
              <w:spacing w:before="0" w:after="40"/>
              <w:ind w:hanging="0" w:start="43" w:end="43"/>
              <w:rPr/>
            </w:pPr>
            <w:r>
              <w:rPr>
                <w:sz w:val="19"/>
              </w:rPr>
              <w:t>Contexto, partes interessadas, escopo, política, mapa de processos e papéis</w:t>
            </w:r>
          </w:p>
        </w:tc>
      </w:tr>
      <w:tr>
        <w:trPr>
          <w:cantSplit/>
        </w:trPr>
        <w:tc>
          <w:tcPr>
            <w:tcW w:w="4680" w:type="dxa"/>
            <w:tcBorders/>
            <w:vAlign w:val="center"/>
          </w:tcPr>
          <w:p>
            <w:pPr>
              <w:pStyle w:val="TableContents"/>
              <w:suppressLineNumbers/>
              <w:bidi w:val="0"/>
              <w:spacing w:before="0" w:after="40"/>
              <w:ind w:hanging="0" w:start="43" w:end="43"/>
              <w:rPr/>
            </w:pPr>
            <w:r>
              <w:rPr>
                <w:sz w:val="19"/>
              </w:rPr>
              <w:t>Planejamento</w:t>
            </w:r>
          </w:p>
        </w:tc>
        <w:tc>
          <w:tcPr>
            <w:tcW w:w="4680" w:type="dxa"/>
            <w:tcBorders/>
            <w:vAlign w:val="center"/>
          </w:tcPr>
          <w:p>
            <w:pPr>
              <w:pStyle w:val="TableContents"/>
              <w:suppressLineNumbers/>
              <w:bidi w:val="0"/>
              <w:spacing w:before="0" w:after="40"/>
              <w:ind w:hanging="0" w:start="43" w:end="43"/>
              <w:rPr/>
            </w:pPr>
            <w:r>
              <w:rPr>
                <w:sz w:val="19"/>
              </w:rPr>
              <w:t>Método/avaliação de risco, tratamento, Declaração de Aplicabilidade, processo/registros de impacto, objetivos e mudanças</w:t>
            </w:r>
          </w:p>
        </w:tc>
      </w:tr>
      <w:tr>
        <w:trPr>
          <w:cantSplit/>
        </w:trPr>
        <w:tc>
          <w:tcPr>
            <w:tcW w:w="4680" w:type="dxa"/>
            <w:tcBorders/>
            <w:vAlign w:val="center"/>
          </w:tcPr>
          <w:p>
            <w:pPr>
              <w:pStyle w:val="TableContents"/>
              <w:suppressLineNumbers/>
              <w:bidi w:val="0"/>
              <w:spacing w:before="0" w:after="40"/>
              <w:ind w:hanging="0" w:start="43" w:end="43"/>
              <w:rPr/>
            </w:pPr>
            <w:r>
              <w:rPr>
                <w:sz w:val="19"/>
              </w:rPr>
              <w:t>Operações</w:t>
            </w:r>
          </w:p>
        </w:tc>
        <w:tc>
          <w:tcPr>
            <w:tcW w:w="4680" w:type="dxa"/>
            <w:tcBorders/>
            <w:vAlign w:val="center"/>
          </w:tcPr>
          <w:p>
            <w:pPr>
              <w:pStyle w:val="TableContents"/>
              <w:suppressLineNumbers/>
              <w:bidi w:val="0"/>
              <w:spacing w:before="0" w:after="40"/>
              <w:ind w:hanging="0" w:start="43" w:end="43"/>
              <w:rPr/>
            </w:pPr>
            <w:r>
              <w:rPr>
                <w:sz w:val="19"/>
              </w:rPr>
              <w:t>Inventário de IA, recursos, ciclo de vida, dados, fornecedor/uso, comunicação e incidentes</w:t>
            </w:r>
          </w:p>
        </w:tc>
      </w:tr>
      <w:tr>
        <w:trPr>
          <w:cantSplit/>
        </w:trPr>
        <w:tc>
          <w:tcPr>
            <w:tcW w:w="4680" w:type="dxa"/>
            <w:tcBorders/>
            <w:vAlign w:val="center"/>
          </w:tcPr>
          <w:p>
            <w:pPr>
              <w:pStyle w:val="TableContents"/>
              <w:suppressLineNumbers/>
              <w:bidi w:val="0"/>
              <w:spacing w:before="0" w:after="40"/>
              <w:ind w:hanging="0" w:start="43" w:end="43"/>
              <w:rPr/>
            </w:pPr>
            <w:r>
              <w:rPr>
                <w:sz w:val="19"/>
              </w:rPr>
              <w:t>Avaliação</w:t>
            </w:r>
          </w:p>
        </w:tc>
        <w:tc>
          <w:tcPr>
            <w:tcW w:w="4680" w:type="dxa"/>
            <w:tcBorders/>
            <w:vAlign w:val="center"/>
          </w:tcPr>
          <w:p>
            <w:pPr>
              <w:pStyle w:val="TableContents"/>
              <w:suppressLineNumbers/>
              <w:bidi w:val="0"/>
              <w:spacing w:before="0" w:after="40"/>
              <w:ind w:hanging="0" w:start="43" w:end="43"/>
              <w:rPr/>
            </w:pPr>
            <w:r>
              <w:rPr>
                <w:sz w:val="19"/>
              </w:rPr>
              <w:t>Métricas, análise, auditoria interna e análise crítica pela direção</w:t>
            </w:r>
          </w:p>
        </w:tc>
      </w:tr>
      <w:tr>
        <w:trPr>
          <w:cantSplit/>
        </w:trPr>
        <w:tc>
          <w:tcPr>
            <w:tcW w:w="4680" w:type="dxa"/>
            <w:tcBorders/>
            <w:vAlign w:val="center"/>
          </w:tcPr>
          <w:p>
            <w:pPr>
              <w:pStyle w:val="TableContents"/>
              <w:suppressLineNumbers/>
              <w:bidi w:val="0"/>
              <w:spacing w:before="0" w:after="40"/>
              <w:ind w:hanging="0" w:start="43" w:end="43"/>
              <w:rPr/>
            </w:pPr>
            <w:r>
              <w:rPr>
                <w:sz w:val="19"/>
              </w:rPr>
              <w:t>Melhoria</w:t>
            </w:r>
          </w:p>
        </w:tc>
        <w:tc>
          <w:tcPr>
            <w:tcW w:w="4680" w:type="dxa"/>
            <w:tcBorders/>
            <w:vAlign w:val="center"/>
          </w:tcPr>
          <w:p>
            <w:pPr>
              <w:pStyle w:val="TableContents"/>
              <w:suppressLineNumbers/>
              <w:bidi w:val="0"/>
              <w:spacing w:before="0" w:after="40"/>
              <w:ind w:hanging="0" w:start="43" w:end="43"/>
              <w:rPr/>
            </w:pPr>
            <w:r>
              <w:rPr>
                <w:sz w:val="19"/>
              </w:rPr>
              <w:t>Não conformidade, correção, causa-raiz, ação corretiva e eficácia</w:t>
            </w:r>
          </w:p>
        </w:tc>
      </w:tr>
      <w:tr>
        <w:trPr>
          <w:cantSplit/>
        </w:trPr>
        <w:tc>
          <w:tcPr>
            <w:tcW w:w="4680" w:type="dxa"/>
            <w:tcBorders/>
            <w:vAlign w:val="center"/>
          </w:tcPr>
          <w:p>
            <w:pPr>
              <w:pStyle w:val="TableContents"/>
              <w:suppressLineNumbers/>
              <w:bidi w:val="0"/>
              <w:spacing w:before="0" w:after="40"/>
              <w:ind w:hanging="0" w:start="43" w:end="43"/>
              <w:rPr/>
            </w:pPr>
            <w:r>
              <w:rPr>
                <w:sz w:val="19"/>
              </w:rPr>
              <w:t>Rastreabilidade do sistema</w:t>
            </w:r>
          </w:p>
        </w:tc>
        <w:tc>
          <w:tcPr>
            <w:tcW w:w="4680" w:type="dxa"/>
            <w:tcBorders/>
            <w:vAlign w:val="center"/>
          </w:tcPr>
          <w:p>
            <w:pPr>
              <w:pStyle w:val="TableContents"/>
              <w:suppressLineNumbers/>
              <w:bidi w:val="0"/>
              <w:spacing w:before="0" w:after="40"/>
              <w:ind w:hanging="0" w:start="43" w:end="43"/>
              <w:rPr/>
            </w:pPr>
            <w:r>
              <w:rPr>
                <w:sz w:val="19"/>
              </w:rPr>
              <w:t>Versões de modelo/dados/prompt/ferramenta/configuração, aprovações, avaliações, logs e decisões</w:t>
            </w:r>
          </w:p>
        </w:tc>
      </w:tr>
    </w:tbl>
    <w:p>
      <w:pPr>
        <w:pStyle w:val="Heading1"/>
        <w:tabs>
          <w:tab w:val="clear" w:pos="709"/>
          <w:tab w:val="left" w:pos="0" w:leader="none"/>
        </w:tabs>
        <w:bidi w:val="0"/>
        <w:ind w:hanging="0" w:start="0"/>
        <w:jc w:val="left"/>
        <w:rPr/>
        <w:keepNext/>
      </w:pPr>
      <w:bookmarkStart w:id="41" w:name="cláusula-8.1-planejamento-e-controle-ope"/>
      <w:r>
        <w:rPr/>
        <w:t>14. Cláusula 8.1: Planejamento e controle operacional</w:t>
      </w:r>
      <w:bookmarkEnd w:id="41"/>
    </w:p>
    <w:p>
      <w:pPr>
        <w:pStyle w:val="Firstparagraph"/>
        <w:bidi w:val="0"/>
        <w:rPr>
          <w:i/>
          <w:iCs/>
        </w:rPr>
      </w:pPr>
      <w:r>
        <w:rPr>
          <w:i/>
          <w:iCs/>
        </w:rPr>
        <w:t>O planejamento operacional transforma requisitos do SGIA em controles repetíveis para admissão, projeto, aquisição, implantação, uso, mudança, incidente e retirada de IA.</w:t>
      </w:r>
    </w:p>
    <w:p>
      <w:pPr>
        <w:pStyle w:val="Heading2"/>
        <w:tabs>
          <w:tab w:val="clear" w:pos="709"/>
          <w:tab w:val="left" w:pos="0" w:leader="none"/>
        </w:tabs>
        <w:bidi w:val="0"/>
        <w:ind w:hanging="0" w:start="0"/>
        <w:jc w:val="left"/>
        <w:rPr/>
        <w:keepNext/>
      </w:pPr>
      <w:bookmarkStart w:id="42" w:name="controle-operacional"/>
      <w:r>
        <w:rPr/>
        <w:t>14.1 Controle operacional</w:t>
      </w:r>
      <w:bookmarkEnd w:id="42"/>
    </w:p>
    <w:p>
      <w:pPr>
        <w:pStyle w:val="BodyText"/>
        <w:numPr>
          <w:ilvl w:val="0"/>
          <w:numId w:val="23"/>
        </w:numPr>
        <w:bidi w:val="0"/>
        <w:spacing w:before="0" w:after="0"/>
        <w:rPr/>
      </w:pPr>
      <w:r>
        <w:rPr/>
        <w:t>Defina critérios e controles para processos; opere-os como planejado; retenha evidências suficientes para demonstrar desempenho.</w:t>
      </w:r>
    </w:p>
    <w:p>
      <w:pPr>
        <w:pStyle w:val="BodyText"/>
        <w:numPr>
          <w:ilvl w:val="0"/>
          <w:numId w:val="23"/>
        </w:numPr>
        <w:bidi w:val="0"/>
        <w:spacing w:before="0" w:after="0"/>
        <w:rPr/>
      </w:pPr>
      <w:r>
        <w:rPr/>
        <w:t>Controle mudanças planejadas e revise mudanças não intencionais; reduza efeitos adversos.</w:t>
      </w:r>
    </w:p>
    <w:p>
      <w:pPr>
        <w:pStyle w:val="BodyText"/>
        <w:numPr>
          <w:ilvl w:val="0"/>
          <w:numId w:val="23"/>
        </w:numPr>
        <w:bidi w:val="0"/>
        <w:spacing w:before="0" w:after="0"/>
        <w:rPr/>
      </w:pPr>
      <w:r>
        <w:rPr/>
        <w:t>Controle processos, produtos e serviços fornecidos externamente conforme risco e responsabilidade.</w:t>
      </w:r>
    </w:p>
    <w:p>
      <w:pPr>
        <w:pStyle w:val="BodyText"/>
        <w:numPr>
          <w:ilvl w:val="0"/>
          <w:numId w:val="23"/>
        </w:numPr>
        <w:bidi w:val="0"/>
        <w:spacing w:before="0" w:after="0"/>
        <w:rPr/>
      </w:pPr>
      <w:r>
        <w:rPr/>
        <w:t>Use níveis de risco e marcos do ciclo de vida para ajustar revisão, independência, testes, aprovação, monitoramento e escalonamento ao impacto.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Marco</w:t>
            </w:r>
          </w:p>
        </w:tc>
        <w:tc>
          <w:tcPr>
            <w:tcW w:w="4680" w:type="dxa"/>
            <w:tcBorders/>
            <w:vAlign w:val="center"/>
            <w:shd w:fill="1F4E78"/>
          </w:tcPr>
          <w:p>
            <w:pPr>
              <w:pStyle w:val="TableHeading"/>
              <w:bidi w:val="0"/>
              <w:spacing w:before="0" w:after="40"/>
              <w:rPr>
                <w:b/>
                <w:bCs/>
              </w:rPr>
            </w:pPr>
            <w:r>
              <w:rPr>
                <w:b/>
                <w:bCs/>
                <w:sz w:val="19"/>
                <w:color w:val="FFFFFF"/>
              </w:rPr>
              <w:t>Evidência necessária para a decisão</w:t>
            </w:r>
          </w:p>
        </w:tc>
      </w:tr>
      <w:tr>
        <w:trPr>
          <w:cantSplit/>
        </w:trPr>
        <w:tc>
          <w:tcPr>
            <w:tcW w:w="4680" w:type="dxa"/>
            <w:tcBorders/>
            <w:vAlign w:val="center"/>
          </w:tcPr>
          <w:p>
            <w:pPr>
              <w:pStyle w:val="TableContents"/>
              <w:suppressLineNumbers/>
              <w:bidi w:val="0"/>
              <w:spacing w:before="0" w:after="40"/>
              <w:ind w:hanging="0" w:start="43" w:end="43"/>
              <w:rPr/>
            </w:pPr>
            <w:r>
              <w:rPr>
                <w:sz w:val="19"/>
              </w:rPr>
              <w:t>Admissão</w:t>
            </w:r>
          </w:p>
        </w:tc>
        <w:tc>
          <w:tcPr>
            <w:tcW w:w="4680" w:type="dxa"/>
            <w:tcBorders/>
            <w:vAlign w:val="center"/>
          </w:tcPr>
          <w:p>
            <w:pPr>
              <w:pStyle w:val="TableContents"/>
              <w:suppressLineNumbers/>
              <w:bidi w:val="0"/>
              <w:spacing w:before="0" w:after="40"/>
              <w:ind w:hanging="0" w:start="43" w:end="43"/>
              <w:rPr/>
            </w:pPr>
            <w:r>
              <w:rPr>
                <w:sz w:val="19"/>
              </w:rPr>
              <w:t>Finalidade, proprietário, papel de IA, pessoas afetadas, dados, fornecedor, risco preliminar e verificação de uso proibido</w:t>
            </w:r>
          </w:p>
        </w:tc>
      </w:tr>
      <w:tr>
        <w:trPr>
          <w:cantSplit/>
        </w:trPr>
        <w:tc>
          <w:tcPr>
            <w:tcW w:w="4680" w:type="dxa"/>
            <w:tcBorders/>
            <w:vAlign w:val="center"/>
          </w:tcPr>
          <w:p>
            <w:pPr>
              <w:pStyle w:val="TableContents"/>
              <w:suppressLineNumbers/>
              <w:bidi w:val="0"/>
              <w:spacing w:before="0" w:after="40"/>
              <w:ind w:hanging="0" w:start="43" w:end="43"/>
              <w:rPr/>
            </w:pPr>
            <w:r>
              <w:rPr>
                <w:sz w:val="19"/>
              </w:rPr>
              <w:t>Projeto/aquisição</w:t>
            </w:r>
          </w:p>
        </w:tc>
        <w:tc>
          <w:tcPr>
            <w:tcW w:w="4680" w:type="dxa"/>
            <w:tcBorders/>
            <w:vAlign w:val="center"/>
          </w:tcPr>
          <w:p>
            <w:pPr>
              <w:pStyle w:val="TableContents"/>
              <w:suppressLineNumbers/>
              <w:bidi w:val="0"/>
              <w:spacing w:before="0" w:after="40"/>
              <w:ind w:hanging="0" w:start="43" w:end="43"/>
              <w:rPr/>
            </w:pPr>
            <w:r>
              <w:rPr>
                <w:sz w:val="19"/>
              </w:rPr>
              <w:t>Requisitos, risco/impacto, arquitetura, recursos, dados, deveres do fornecedor, controles e testes</w:t>
            </w:r>
          </w:p>
        </w:tc>
      </w:tr>
      <w:tr>
        <w:trPr>
          <w:cantSplit/>
        </w:trPr>
        <w:tc>
          <w:tcPr>
            <w:tcW w:w="4680" w:type="dxa"/>
            <w:tcBorders/>
            <w:vAlign w:val="center"/>
          </w:tcPr>
          <w:p>
            <w:pPr>
              <w:pStyle w:val="TableContents"/>
              <w:suppressLineNumbers/>
              <w:bidi w:val="0"/>
              <w:spacing w:before="0" w:after="40"/>
              <w:ind w:hanging="0" w:start="43" w:end="43"/>
              <w:rPr/>
            </w:pPr>
            <w:r>
              <w:rPr>
                <w:sz w:val="19"/>
              </w:rPr>
              <w:t>Construção/configuração</w:t>
            </w:r>
          </w:p>
        </w:tc>
        <w:tc>
          <w:tcPr>
            <w:tcW w:w="4680" w:type="dxa"/>
            <w:tcBorders/>
            <w:vAlign w:val="center"/>
          </w:tcPr>
          <w:p>
            <w:pPr>
              <w:pStyle w:val="TableContents"/>
              <w:suppressLineNumbers/>
              <w:bidi w:val="0"/>
              <w:spacing w:before="0" w:after="40"/>
              <w:ind w:hanging="0" w:start="43" w:end="43"/>
              <w:rPr/>
            </w:pPr>
            <w:r>
              <w:rPr>
                <w:sz w:val="19"/>
              </w:rPr>
              <w:t>Versões, linhagem, desenvolvimento seguro, documentação e prontidão para avaliação</w:t>
            </w:r>
          </w:p>
        </w:tc>
      </w:tr>
      <w:tr>
        <w:trPr>
          <w:cantSplit/>
        </w:trPr>
        <w:tc>
          <w:tcPr>
            <w:tcW w:w="4680" w:type="dxa"/>
            <w:tcBorders/>
            <w:vAlign w:val="center"/>
          </w:tcPr>
          <w:p>
            <w:pPr>
              <w:pStyle w:val="TableContents"/>
              <w:suppressLineNumbers/>
              <w:bidi w:val="0"/>
              <w:spacing w:before="0" w:after="40"/>
              <w:ind w:hanging="0" w:start="43" w:end="43"/>
              <w:rPr/>
            </w:pPr>
            <w:r>
              <w:rPr>
                <w:sz w:val="19"/>
              </w:rPr>
              <w:t>Validação</w:t>
            </w:r>
          </w:p>
        </w:tc>
        <w:tc>
          <w:tcPr>
            <w:tcW w:w="4680" w:type="dxa"/>
            <w:tcBorders/>
            <w:vAlign w:val="center"/>
          </w:tcPr>
          <w:p>
            <w:pPr>
              <w:pStyle w:val="TableContents"/>
              <w:suppressLineNumbers/>
              <w:bidi w:val="0"/>
              <w:spacing w:before="0" w:after="40"/>
              <w:ind w:hanging="0" w:start="43" w:end="43"/>
              <w:rPr/>
            </w:pPr>
            <w:r>
              <w:rPr>
                <w:sz w:val="19"/>
              </w:rPr>
              <w:t>Testes representativos, limites, falhas, contestação independente, limitações e ação corretiva</w:t>
            </w:r>
          </w:p>
        </w:tc>
      </w:tr>
      <w:tr>
        <w:trPr>
          <w:cantSplit/>
        </w:trPr>
        <w:tc>
          <w:tcPr>
            <w:tcW w:w="4680" w:type="dxa"/>
            <w:tcBorders/>
            <w:vAlign w:val="center"/>
          </w:tcPr>
          <w:p>
            <w:pPr>
              <w:pStyle w:val="TableContents"/>
              <w:suppressLineNumbers/>
              <w:bidi w:val="0"/>
              <w:spacing w:before="0" w:after="40"/>
              <w:ind w:hanging="0" w:start="43" w:end="43"/>
              <w:rPr/>
            </w:pPr>
            <w:r>
              <w:rPr>
                <w:sz w:val="19"/>
              </w:rPr>
              <w:t>Implantação</w:t>
            </w:r>
          </w:p>
        </w:tc>
        <w:tc>
          <w:tcPr>
            <w:tcW w:w="4680" w:type="dxa"/>
            <w:tcBorders/>
            <w:vAlign w:val="center"/>
          </w:tcPr>
          <w:p>
            <w:pPr>
              <w:pStyle w:val="TableContents"/>
              <w:suppressLineNumbers/>
              <w:bidi w:val="0"/>
              <w:spacing w:before="0" w:after="40"/>
              <w:ind w:hanging="0" w:start="43" w:end="43"/>
              <w:rPr/>
            </w:pPr>
            <w:r>
              <w:rPr>
                <w:sz w:val="19"/>
              </w:rPr>
              <w:t>Aprovação, condições, informação ao usuário, supervisão, monitoramento, incidente, rollback e suporte</w:t>
            </w:r>
          </w:p>
        </w:tc>
      </w:tr>
      <w:tr>
        <w:trPr>
          <w:cantSplit/>
        </w:trPr>
        <w:tc>
          <w:tcPr>
            <w:tcW w:w="4680" w:type="dxa"/>
            <w:tcBorders/>
            <w:vAlign w:val="center"/>
          </w:tcPr>
          <w:p>
            <w:pPr>
              <w:pStyle w:val="TableContents"/>
              <w:suppressLineNumbers/>
              <w:bidi w:val="0"/>
              <w:spacing w:before="0" w:after="40"/>
              <w:ind w:hanging="0" w:start="43" w:end="43"/>
              <w:rPr/>
            </w:pPr>
            <w:r>
              <w:rPr>
                <w:sz w:val="19"/>
              </w:rPr>
              <w:t>Operação/mudança</w:t>
            </w:r>
          </w:p>
        </w:tc>
        <w:tc>
          <w:tcPr>
            <w:tcW w:w="4680" w:type="dxa"/>
            <w:tcBorders/>
            <w:vAlign w:val="center"/>
          </w:tcPr>
          <w:p>
            <w:pPr>
              <w:pStyle w:val="TableContents"/>
              <w:suppressLineNumbers/>
              <w:bidi w:val="0"/>
              <w:spacing w:before="0" w:after="40"/>
              <w:ind w:hanging="0" w:start="43" w:end="43"/>
              <w:rPr/>
            </w:pPr>
            <w:r>
              <w:rPr>
                <w:sz w:val="19"/>
              </w:rPr>
              <w:t>Desempenho, drift, reclamações, incidentes, mudanças do fornecedor, regressão e reavaliação</w:t>
            </w:r>
          </w:p>
        </w:tc>
      </w:tr>
      <w:tr>
        <w:trPr>
          <w:cantSplit/>
        </w:trPr>
        <w:tc>
          <w:tcPr>
            <w:tcW w:w="4680" w:type="dxa"/>
            <w:tcBorders/>
            <w:vAlign w:val="center"/>
          </w:tcPr>
          <w:p>
            <w:pPr>
              <w:pStyle w:val="TableContents"/>
              <w:suppressLineNumbers/>
              <w:bidi w:val="0"/>
              <w:spacing w:before="0" w:after="40"/>
              <w:ind w:hanging="0" w:start="43" w:end="43"/>
              <w:rPr/>
            </w:pPr>
            <w:r>
              <w:rPr>
                <w:sz w:val="19"/>
              </w:rPr>
              <w:t>Retirada</w:t>
            </w:r>
          </w:p>
        </w:tc>
        <w:tc>
          <w:tcPr>
            <w:tcW w:w="4680" w:type="dxa"/>
            <w:tcBorders/>
            <w:vAlign w:val="center"/>
          </w:tcPr>
          <w:p>
            <w:pPr>
              <w:pStyle w:val="TableContents"/>
              <w:suppressLineNumbers/>
              <w:bidi w:val="0"/>
              <w:spacing w:before="0" w:after="40"/>
              <w:ind w:hanging="0" w:start="43" w:end="43"/>
              <w:rPr/>
            </w:pPr>
            <w:r>
              <w:rPr>
                <w:sz w:val="19"/>
              </w:rPr>
              <w:t>Substituição, comunicação a usuários/partes, acesso, integrações, dados, modelos, registros e exclusão</w:t>
            </w:r>
          </w:p>
        </w:tc>
      </w:tr>
    </w:tbl>
    <w:p>
      <w:pPr>
        <w:pStyle w:val="Heading1"/>
        <w:tabs>
          <w:tab w:val="clear" w:pos="709"/>
          <w:tab w:val="left" w:pos="0" w:leader="none"/>
        </w:tabs>
        <w:bidi w:val="0"/>
        <w:ind w:hanging="0" w:start="0"/>
        <w:jc w:val="left"/>
        <w:rPr/>
        <w:keepNext/>
      </w:pPr>
      <w:bookmarkStart w:id="43" w:name="cláusulas-8.28.4-risco-operacional-trata"/>
      <w:r>
        <w:rPr/>
        <w:t>15. Cláusulas 8.2–8.4: Risco operacional, tratamento e avaliação de impacto</w:t>
      </w:r>
      <w:bookmarkEnd w:id="43"/>
    </w:p>
    <w:p>
      <w:pPr>
        <w:pStyle w:val="Firstparagraph"/>
        <w:bidi w:val="0"/>
        <w:rPr>
          <w:i/>
          <w:iCs/>
        </w:rPr>
      </w:pPr>
      <w:r>
        <w:rPr>
          <w:i/>
          <w:iCs/>
        </w:rPr>
        <w:t>A organização deve executar avaliação de riscos, tratamento de riscos e avaliação de impacto em intervalos planejados e quando ocorrer mudança significativa.</w:t>
      </w:r>
    </w:p>
    <w:p>
      <w:pPr>
        <w:pStyle w:val="Heading2"/>
        <w:tabs>
          <w:tab w:val="clear" w:pos="709"/>
          <w:tab w:val="left" w:pos="0" w:leader="none"/>
        </w:tabs>
        <w:bidi w:val="0"/>
        <w:ind w:hanging="0" w:start="0"/>
        <w:jc w:val="left"/>
        <w:rPr/>
        <w:keepNext/>
      </w:pPr>
      <w:bookmarkStart w:id="44" w:name="gatilhos-operacionais"/>
      <w:r>
        <w:rPr/>
        <w:t>15.1 Gatilhos operacionais</w:t>
      </w:r>
      <w:bookmarkEnd w:id="44"/>
    </w:p>
    <w:p>
      <w:pPr>
        <w:pStyle w:val="BodyText"/>
        <w:numPr>
          <w:ilvl w:val="0"/>
          <w:numId w:val="24"/>
        </w:numPr>
        <w:bidi w:val="0"/>
        <w:spacing w:before="0" w:after="0"/>
        <w:rPr/>
      </w:pPr>
      <w:r>
        <w:rPr/>
        <w:t>Sistema de IA novo ou alterado, uso pretendido, população afetada, geografia, escala, automação, autoridade de decisão, modelo, dados, prompt, ferramenta, integração, fornecedor ou infraestrutura.</w:t>
      </w:r>
    </w:p>
    <w:p>
      <w:pPr>
        <w:pStyle w:val="BodyText"/>
        <w:numPr>
          <w:ilvl w:val="0"/>
          <w:numId w:val="24"/>
        </w:numPr>
        <w:bidi w:val="0"/>
        <w:spacing w:before="0" w:after="0"/>
        <w:rPr/>
      </w:pPr>
      <w:r>
        <w:rPr/>
        <w:t>Nova lei, contrato, incidente, reclamação, constatação de auditoria, vulnerabilidade, inteligência de ameaças, preocupação de segurança funcional, drift, falha de avaliação, impacto inesperado ou aviso de fornecedor.</w:t>
      </w:r>
    </w:p>
    <w:p>
      <w:pPr>
        <w:pStyle w:val="BodyText"/>
        <w:numPr>
          <w:ilvl w:val="0"/>
          <w:numId w:val="24"/>
        </w:numPr>
        <w:bidi w:val="0"/>
        <w:spacing w:before="0" w:after="0"/>
        <w:rPr/>
      </w:pPr>
      <w:r>
        <w:rPr/>
        <w:t>Mudanças nos critérios de risco, objetivos, controles, monitoramento, propriedade organizacional, escopo de certificação ou capacidade de recursos.</w:t>
      </w:r>
    </w:p>
    <w:p>
      <w:pPr>
        <w:pStyle w:val="Heading2"/>
        <w:tabs>
          <w:tab w:val="clear" w:pos="709"/>
          <w:tab w:val="left" w:pos="0" w:leader="none"/>
        </w:tabs>
        <w:bidi w:val="0"/>
        <w:ind w:hanging="0" w:start="0"/>
        <w:jc w:val="left"/>
        <w:rPr/>
        <w:keepNext/>
      </w:pPr>
      <w:bookmarkStart w:id="45" w:name="evidência-operacional"/>
      <w:r>
        <w:rPr/>
        <w:t>15.2 Evidência operacional</w:t>
      </w:r>
      <w:bookmarkEnd w:id="45"/>
    </w:p>
    <w:p>
      <w:pPr>
        <w:pStyle w:val="BodyText"/>
        <w:numPr>
          <w:ilvl w:val="0"/>
          <w:numId w:val="25"/>
        </w:numPr>
        <w:bidi w:val="0"/>
        <w:spacing w:before="0" w:after="0"/>
        <w:rPr/>
      </w:pPr>
      <w:r>
        <w:rPr/>
        <w:t>Avaliação atual e aprovada ligada à versão exata de sistema/modelo/dados/configuração/uso.</w:t>
      </w:r>
    </w:p>
    <w:p>
      <w:pPr>
        <w:pStyle w:val="BodyText"/>
        <w:numPr>
          <w:ilvl w:val="0"/>
          <w:numId w:val="25"/>
        </w:numPr>
        <w:bidi w:val="0"/>
        <w:spacing w:before="0" w:after="0"/>
        <w:rPr/>
      </w:pPr>
      <w:r>
        <w:rPr/>
        <w:t>Plano de tratamento e Declaração de Aplicabilidade concordam com controles implementados, lacunas, exceções, aprovação residual e monitoramento.</w:t>
      </w:r>
    </w:p>
    <w:p>
      <w:pPr>
        <w:pStyle w:val="BodyText"/>
        <w:numPr>
          <w:ilvl w:val="0"/>
          <w:numId w:val="25"/>
        </w:numPr>
        <w:bidi w:val="0"/>
        <w:spacing w:before="0" w:after="0"/>
        <w:rPr/>
      </w:pPr>
      <w:r>
        <w:rPr/>
        <w:t>Avaliação de impacto inclui partes afetadas, efeitos diretos/indiretos e sociais, mitigações, reparação e gatilhos de revisão.</w:t>
      </w:r>
    </w:p>
    <w:p>
      <w:pPr>
        <w:pStyle w:val="BodyText"/>
        <w:numPr>
          <w:ilvl w:val="0"/>
          <w:numId w:val="25"/>
        </w:numPr>
        <w:bidi w:val="0"/>
        <w:spacing w:before="0" w:after="0"/>
        <w:rPr/>
      </w:pPr>
      <w:r>
        <w:rPr/>
        <w:t>Ações são integradas a fluxos de produto, dados, segurança, privacidade, fornecedores, usuários, incidentes e mudanças.</w:t>
      </w:r>
    </w:p>
    <w:p>
      <w:pPr>
        <w:pStyle w:val="BodyText"/>
        <w:numPr>
          <w:ilvl w:val="0"/>
          <w:numId w:val="25"/>
        </w:numPr>
        <w:bidi w:val="0"/>
        <w:spacing w:before="0" w:after="0"/>
        <w:rPr/>
      </w:pPr>
      <w:r>
        <w:rPr/>
        <w:t>Resultados e mudanças são preservados como informação documentada controlada.</w:t>
      </w:r>
    </w:p>
    <w:p>
      <w:pPr>
        <w:pStyle w:val="Heading1"/>
        <w:tabs>
          <w:tab w:val="clear" w:pos="709"/>
          <w:tab w:val="left" w:pos="0" w:leader="none"/>
        </w:tabs>
        <w:bidi w:val="0"/>
        <w:ind w:hanging="0" w:start="0"/>
        <w:jc w:val="left"/>
        <w:rPr/>
        <w:keepNext/>
      </w:pPr>
      <w:bookmarkStart w:id="46" w:name="cláusula-9.1-monitoramento-medição-análi"/>
      <w:r>
        <w:rPr/>
        <w:t>16. Cláusula 9.1: Monitoramento, medição, análise e avaliação</w:t>
      </w:r>
      <w:bookmarkEnd w:id="46"/>
    </w:p>
    <w:p>
      <w:pPr>
        <w:pStyle w:val="Firstparagraph"/>
        <w:bidi w:val="0"/>
        <w:rPr>
          <w:i/>
          <w:iCs/>
        </w:rPr>
      </w:pPr>
      <w:r>
        <w:rPr>
          <w:i/>
          <w:iCs/>
        </w:rPr>
        <w:t>A avaliação de desempenho determina se o SGIA e seus controles alcançam os resultados pretendidos.</w:t>
      </w:r>
    </w:p>
    <w:p>
      <w:pPr>
        <w:pStyle w:val="Heading2"/>
        <w:tabs>
          <w:tab w:val="clear" w:pos="709"/>
          <w:tab w:val="left" w:pos="0" w:leader="none"/>
        </w:tabs>
        <w:bidi w:val="0"/>
        <w:ind w:hanging="0" w:start="0"/>
        <w:jc w:val="left"/>
        <w:rPr/>
        <w:keepNext/>
      </w:pPr>
      <w:bookmarkStart w:id="47" w:name="projeto-da-medição"/>
      <w:r>
        <w:rPr/>
        <w:t>16.1 Projeto da medição</w:t>
      </w:r>
      <w:bookmarkEnd w:id="47"/>
    </w:p>
    <w:p>
      <w:pPr>
        <w:pStyle w:val="BodyText"/>
        <w:numPr>
          <w:ilvl w:val="0"/>
          <w:numId w:val="26"/>
        </w:numPr>
        <w:bidi w:val="0"/>
        <w:spacing w:before="0" w:after="0"/>
        <w:rPr/>
      </w:pPr>
      <w:r>
        <w:rPr/>
        <w:t>Decida o que monitorar/medir, métodos, momento, responsabilidade, critérios de aceitação, análise, avaliação, reporte e retenção.</w:t>
      </w:r>
    </w:p>
    <w:p>
      <w:pPr>
        <w:pStyle w:val="BodyText"/>
        <w:numPr>
          <w:ilvl w:val="0"/>
          <w:numId w:val="26"/>
        </w:numPr>
        <w:bidi w:val="0"/>
        <w:spacing w:before="0" w:after="0"/>
        <w:rPr/>
      </w:pPr>
      <w:r>
        <w:rPr/>
        <w:t>Verifique fontes de dados, definições, populações, completude, precisão, tempo, acesso, transformações e limitações.</w:t>
      </w:r>
    </w:p>
    <w:p>
      <w:pPr>
        <w:pStyle w:val="BodyText"/>
        <w:numPr>
          <w:ilvl w:val="0"/>
          <w:numId w:val="26"/>
        </w:numPr>
        <w:bidi w:val="0"/>
        <w:spacing w:before="0" w:after="0"/>
        <w:rPr/>
      </w:pPr>
      <w:r>
        <w:rPr/>
        <w:t>Use indicadores antecedentes e consequentes em governança, risco, impacto, ciclo de vida, dados, fornecedores, uso, reclamações, incidentes, auditoria e melhoria.</w:t>
      </w:r>
    </w:p>
    <w:p>
      <w:pPr>
        <w:pStyle w:val="BodyText"/>
        <w:numPr>
          <w:ilvl w:val="0"/>
          <w:numId w:val="26"/>
        </w:numPr>
        <w:bidi w:val="0"/>
        <w:spacing w:before="0" w:after="0"/>
        <w:rPr/>
      </w:pPr>
      <w:r>
        <w:rPr/>
        <w:t>Evite médias que ocultem falhas graves ou efeitos em subgrupos; combine evidências quantitativas e qualitativas.</w:t>
      </w:r>
    </w:p>
    <w:p>
      <w:pPr>
        <w:pStyle w:val="BodyText"/>
        <w:numPr>
          <w:ilvl w:val="0"/>
          <w:numId w:val="26"/>
        </w:numPr>
        <w:bidi w:val="0"/>
        <w:spacing w:before="0" w:after="0"/>
        <w:rPr/>
      </w:pPr>
      <w:r>
        <w:rPr/>
        <w:t>Avalie tendências e causas, compare com objetivos e gere decisões/ações quando limites não forem atingidos.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Medida do SGIA</w:t>
            </w:r>
          </w:p>
        </w:tc>
        <w:tc>
          <w:tcPr>
            <w:tcW w:w="4680" w:type="dxa"/>
            <w:tcBorders/>
            <w:vAlign w:val="center"/>
            <w:shd w:fill="1F4E78"/>
          </w:tcPr>
          <w:p>
            <w:pPr>
              <w:pStyle w:val="TableHeading"/>
              <w:bidi w:val="0"/>
              <w:spacing w:before="0" w:after="40"/>
              <w:rPr>
                <w:b/>
                <w:bCs/>
              </w:rPr>
            </w:pPr>
            <w:r>
              <w:rPr>
                <w:b/>
                <w:bCs/>
                <w:sz w:val="19"/>
                <w:color w:val="FFFFFF"/>
              </w:rPr>
              <w:t>Decisão habilitada</w:t>
            </w:r>
          </w:p>
        </w:tc>
      </w:tr>
      <w:tr>
        <w:trPr>
          <w:cantSplit/>
        </w:trPr>
        <w:tc>
          <w:tcPr>
            <w:tcW w:w="4680" w:type="dxa"/>
            <w:tcBorders/>
            <w:vAlign w:val="center"/>
          </w:tcPr>
          <w:p>
            <w:pPr>
              <w:pStyle w:val="TableContents"/>
              <w:suppressLineNumbers/>
              <w:bidi w:val="0"/>
              <w:spacing w:before="0" w:after="40"/>
              <w:ind w:hanging="0" w:start="43" w:end="43"/>
              <w:rPr/>
            </w:pPr>
            <w:r>
              <w:rPr>
                <w:sz w:val="19"/>
              </w:rPr>
              <w:t>Cobertura de inventário/controles</w:t>
            </w:r>
          </w:p>
        </w:tc>
        <w:tc>
          <w:tcPr>
            <w:tcW w:w="4680" w:type="dxa"/>
            <w:tcBorders/>
            <w:vAlign w:val="center"/>
          </w:tcPr>
          <w:p>
            <w:pPr>
              <w:pStyle w:val="TableContents"/>
              <w:suppressLineNumbers/>
              <w:bidi w:val="0"/>
              <w:spacing w:before="0" w:after="40"/>
              <w:ind w:hanging="0" w:start="43" w:end="43"/>
              <w:rPr/>
            </w:pPr>
            <w:r>
              <w:rPr>
                <w:sz w:val="19"/>
              </w:rPr>
              <w:t>Uso de IA desconhecido ou sem proprietário e lacunas de avaliação</w:t>
            </w:r>
          </w:p>
        </w:tc>
      </w:tr>
      <w:tr>
        <w:trPr>
          <w:cantSplit/>
        </w:trPr>
        <w:tc>
          <w:tcPr>
            <w:tcW w:w="4680" w:type="dxa"/>
            <w:tcBorders/>
            <w:vAlign w:val="center"/>
          </w:tcPr>
          <w:p>
            <w:pPr>
              <w:pStyle w:val="TableContents"/>
              <w:suppressLineNumbers/>
              <w:bidi w:val="0"/>
              <w:spacing w:before="0" w:after="40"/>
              <w:ind w:hanging="0" w:start="43" w:end="43"/>
              <w:rPr/>
            </w:pPr>
            <w:r>
              <w:rPr>
                <w:sz w:val="19"/>
              </w:rPr>
              <w:t>Idade de risco/impacto e cobertura de mudanças</w:t>
            </w:r>
          </w:p>
        </w:tc>
        <w:tc>
          <w:tcPr>
            <w:tcW w:w="4680" w:type="dxa"/>
            <w:tcBorders/>
            <w:vAlign w:val="center"/>
          </w:tcPr>
          <w:p>
            <w:pPr>
              <w:pStyle w:val="TableContents"/>
              <w:suppressLineNumbers/>
              <w:bidi w:val="0"/>
              <w:spacing w:before="0" w:after="40"/>
              <w:ind w:hanging="0" w:start="43" w:end="43"/>
              <w:rPr/>
            </w:pPr>
            <w:r>
              <w:rPr>
                <w:sz w:val="19"/>
              </w:rPr>
              <w:t>Se decisões continuam atuais após mudança de sistema/contexto</w:t>
            </w:r>
          </w:p>
        </w:tc>
      </w:tr>
      <w:tr>
        <w:trPr>
          <w:cantSplit/>
        </w:trPr>
        <w:tc>
          <w:tcPr>
            <w:tcW w:w="4680" w:type="dxa"/>
            <w:tcBorders/>
            <w:vAlign w:val="center"/>
          </w:tcPr>
          <w:p>
            <w:pPr>
              <w:pStyle w:val="TableContents"/>
              <w:suppressLineNumbers/>
              <w:bidi w:val="0"/>
              <w:spacing w:before="0" w:after="40"/>
              <w:ind w:hanging="0" w:start="43" w:end="43"/>
              <w:rPr/>
            </w:pPr>
            <w:r>
              <w:rPr>
                <w:sz w:val="19"/>
              </w:rPr>
              <w:t>Resultados de avaliação</w:t>
            </w:r>
          </w:p>
        </w:tc>
        <w:tc>
          <w:tcPr>
            <w:tcW w:w="4680" w:type="dxa"/>
            <w:tcBorders/>
            <w:vAlign w:val="center"/>
          </w:tcPr>
          <w:p>
            <w:pPr>
              <w:pStyle w:val="TableContents"/>
              <w:suppressLineNumbers/>
              <w:bidi w:val="0"/>
              <w:spacing w:before="0" w:after="40"/>
              <w:ind w:hanging="0" w:start="43" w:end="43"/>
              <w:rPr/>
            </w:pPr>
            <w:r>
              <w:rPr>
                <w:sz w:val="19"/>
              </w:rPr>
              <w:t>Liberar, restringir, reprojetar, reverter ou adicionar supervisão</w:t>
            </w:r>
          </w:p>
        </w:tc>
      </w:tr>
      <w:tr>
        <w:trPr>
          <w:cantSplit/>
        </w:trPr>
        <w:tc>
          <w:tcPr>
            <w:tcW w:w="4680" w:type="dxa"/>
            <w:tcBorders/>
            <w:vAlign w:val="center"/>
          </w:tcPr>
          <w:p>
            <w:pPr>
              <w:pStyle w:val="TableContents"/>
              <w:suppressLineNumbers/>
              <w:bidi w:val="0"/>
              <w:spacing w:before="0" w:after="40"/>
              <w:ind w:hanging="0" w:start="43" w:end="43"/>
              <w:rPr/>
            </w:pPr>
            <w:r>
              <w:rPr>
                <w:sz w:val="19"/>
              </w:rPr>
              <w:t>Reclamações/incidentes/reparação</w:t>
            </w:r>
          </w:p>
        </w:tc>
        <w:tc>
          <w:tcPr>
            <w:tcW w:w="4680" w:type="dxa"/>
            <w:tcBorders/>
            <w:vAlign w:val="center"/>
          </w:tcPr>
          <w:p>
            <w:pPr>
              <w:pStyle w:val="TableContents"/>
              <w:suppressLineNumbers/>
              <w:bidi w:val="0"/>
              <w:spacing w:before="0" w:after="40"/>
              <w:ind w:hanging="0" w:start="43" w:end="43"/>
              <w:rPr/>
            </w:pPr>
            <w:r>
              <w:rPr>
                <w:sz w:val="19"/>
              </w:rPr>
              <w:t>Impactos sobre pessoas, recorrência, comunicação e ação corretiva</w:t>
            </w:r>
          </w:p>
        </w:tc>
      </w:tr>
      <w:tr>
        <w:trPr>
          <w:cantSplit/>
        </w:trPr>
        <w:tc>
          <w:tcPr>
            <w:tcW w:w="4680" w:type="dxa"/>
            <w:tcBorders/>
            <w:vAlign w:val="center"/>
          </w:tcPr>
          <w:p>
            <w:pPr>
              <w:pStyle w:val="TableContents"/>
              <w:suppressLineNumbers/>
              <w:bidi w:val="0"/>
              <w:spacing w:before="0" w:after="40"/>
              <w:ind w:hanging="0" w:start="43" w:end="43"/>
              <w:rPr/>
            </w:pPr>
            <w:r>
              <w:rPr>
                <w:sz w:val="19"/>
              </w:rPr>
              <w:t>Mudanças/evidências de fornecedores</w:t>
            </w:r>
          </w:p>
        </w:tc>
        <w:tc>
          <w:tcPr>
            <w:tcW w:w="4680" w:type="dxa"/>
            <w:tcBorders/>
            <w:vAlign w:val="center"/>
          </w:tcPr>
          <w:p>
            <w:pPr>
              <w:pStyle w:val="TableContents"/>
              <w:suppressLineNumbers/>
              <w:bidi w:val="0"/>
              <w:spacing w:before="0" w:after="40"/>
              <w:ind w:hanging="0" w:start="43" w:end="43"/>
              <w:rPr/>
            </w:pPr>
            <w:r>
              <w:rPr>
                <w:sz w:val="19"/>
              </w:rPr>
              <w:t>Reavaliação, ação contratual, alternativa ou saída</w:t>
            </w:r>
          </w:p>
        </w:tc>
      </w:tr>
      <w:tr>
        <w:trPr>
          <w:cantSplit/>
        </w:trPr>
        <w:tc>
          <w:tcPr>
            <w:tcW w:w="4680" w:type="dxa"/>
            <w:tcBorders/>
            <w:vAlign w:val="center"/>
          </w:tcPr>
          <w:p>
            <w:pPr>
              <w:pStyle w:val="TableContents"/>
              <w:suppressLineNumbers/>
              <w:bidi w:val="0"/>
              <w:spacing w:before="0" w:after="40"/>
              <w:ind w:hanging="0" w:start="43" w:end="43"/>
              <w:rPr/>
            </w:pPr>
            <w:r>
              <w:rPr>
                <w:sz w:val="19"/>
              </w:rPr>
              <w:t>Idade de auditoria/não conformidade</w:t>
            </w:r>
          </w:p>
        </w:tc>
        <w:tc>
          <w:tcPr>
            <w:tcW w:w="4680" w:type="dxa"/>
            <w:tcBorders/>
            <w:vAlign w:val="center"/>
          </w:tcPr>
          <w:p>
            <w:pPr>
              <w:pStyle w:val="TableContents"/>
              <w:suppressLineNumbers/>
              <w:bidi w:val="0"/>
              <w:spacing w:before="0" w:after="40"/>
              <w:ind w:hanging="0" w:start="43" w:end="43"/>
              <w:rPr/>
            </w:pPr>
            <w:r>
              <w:rPr>
                <w:sz w:val="19"/>
              </w:rPr>
              <w:t>Fraqueza de controle, causa-raiz, recursos e atenção da direção</w:t>
            </w:r>
          </w:p>
        </w:tc>
      </w:tr>
    </w:tbl>
    <w:p>
      <w:pPr>
        <w:pStyle w:val="Heading1"/>
        <w:tabs>
          <w:tab w:val="clear" w:pos="709"/>
          <w:tab w:val="left" w:pos="0" w:leader="none"/>
        </w:tabs>
        <w:bidi w:val="0"/>
        <w:ind w:hanging="0" w:start="0"/>
        <w:jc w:val="left"/>
        <w:rPr/>
        <w:keepNext/>
      </w:pPr>
      <w:bookmarkStart w:id="48" w:name="cláusula-9.2-auditoria-interna"/>
      <w:r>
        <w:rPr/>
        <w:t>17. Cláusula 9.2: Auditoria interna</w:t>
      </w:r>
      <w:bookmarkEnd w:id="48"/>
    </w:p>
    <w:p>
      <w:pPr>
        <w:pStyle w:val="Firstparagraph"/>
        <w:bidi w:val="0"/>
        <w:rPr>
          <w:i/>
          <w:iCs/>
        </w:rPr>
      </w:pPr>
      <w:r>
        <w:rPr>
          <w:i/>
          <w:iCs/>
        </w:rPr>
        <w:t>A auditoria interna fornece evidência independente e baseada em riscos de que o SGIA está conforme e opera de forma eficaz.</w:t>
      </w:r>
    </w:p>
    <w:p>
      <w:pPr>
        <w:pStyle w:val="FigureWithCaption"/>
        <w:keepNext w:val="true"/>
        <w:suppressLineNumbers/>
        <w:bidi w:val="0"/>
        <w:rPr/>
      </w:pPr>
      <w:r>
        <w:rPr/>
        <w:drawing>
          <wp:inline distT="0" distB="0" distL="0" distR="0">
            <wp:extent cx="5623560" cy="2955925"/>
            <wp:effectExtent l="0" t="0" r="0" b="0"/>
            <wp:docPr id="5" name="Manual 02 Figure 5" title="Figure 5" descr="A ISO 19011:2026 fornece orientação atual para o programa de auditoria; a ISO/IEC 42001 fornece critérios de 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A ISO 19011:2026 fornece orientação atual para o programa de auditoria; a ISO/IEC 42001 fornece critérios de auditoria.</w:t>
      </w:r>
    </w:p>
    <w:p>
      <w:pPr>
        <w:pStyle w:val="Caption"/>
        <w:bidi w:val="0"/>
        <w:spacing w:before="86" w:after="86"/>
        <w:rPr/>
        <w:keepNext/>
      </w:pPr>
      <w:r>
        <w:rPr/>
        <w:t>Figura 5. Cadeia de auditoria do SGIA</w:t>
      </w:r>
    </w:p>
    <w:p>
      <w:pPr>
        <w:pStyle w:val="BlockQuotation"/>
        <w:bidi w:val="0"/>
        <w:ind w:hanging="0" w:start="720" w:end="0"/>
        <w:rPr/>
      </w:pPr>
      <w:r>
        <w:rPr>
          <w:b/>
          <w:bCs/>
        </w:rPr>
        <w:t>Explicação acessível:</w:t>
      </w:r>
      <w:r>
        <w:rPr/>
        <w:t xml:space="preserve"> A cadeia de auditoria conecta critérios definidos, escopo e amostragem com evidências verificáveis, testes, conclusões, constatações e acompanhamento. Independência e competência do auditor devem ser proporcionais ao risco e à complexidade dos sistemas avaliados.</w:t>
      </w:r>
    </w:p>
    <w:p>
      <w:pPr>
        <w:pStyle w:val="Heading2"/>
        <w:tabs>
          <w:tab w:val="clear" w:pos="709"/>
          <w:tab w:val="left" w:pos="0" w:leader="none"/>
        </w:tabs>
        <w:bidi w:val="0"/>
        <w:ind w:hanging="0" w:start="0"/>
        <w:jc w:val="left"/>
        <w:rPr/>
        <w:keepNext/>
      </w:pPr>
      <w:bookmarkStart w:id="49" w:name="programa-de-auditoria"/>
      <w:r>
        <w:rPr/>
        <w:t>17.1 Programa de auditoria</w:t>
      </w:r>
      <w:bookmarkEnd w:id="49"/>
    </w:p>
    <w:p>
      <w:pPr>
        <w:pStyle w:val="BodyText"/>
        <w:numPr>
          <w:ilvl w:val="0"/>
          <w:numId w:val="27"/>
        </w:numPr>
        <w:bidi w:val="0"/>
        <w:spacing w:before="0" w:after="0"/>
        <w:rPr/>
      </w:pPr>
      <w:r>
        <w:rPr/>
        <w:t>Defina objetivos, escopo, frequência, métodos, responsabilidades, planejamento, critérios, reporte, acompanhamento, recursos, riscos e registros.</w:t>
      </w:r>
    </w:p>
    <w:p>
      <w:pPr>
        <w:pStyle w:val="BodyText"/>
        <w:numPr>
          <w:ilvl w:val="0"/>
          <w:numId w:val="27"/>
        </w:numPr>
        <w:bidi w:val="0"/>
        <w:spacing w:before="0" w:after="0"/>
        <w:rPr/>
      </w:pPr>
      <w:r>
        <w:rPr/>
        <w:t>Priorize sistemas de alto impacto, novos modelos/usos, controles fracos, incidentes, reclamações, mudanças, fornecedores, constatações anteriores e evidências desatualizadas.</w:t>
      </w:r>
    </w:p>
    <w:p>
      <w:pPr>
        <w:pStyle w:val="BodyText"/>
        <w:numPr>
          <w:ilvl w:val="0"/>
          <w:numId w:val="27"/>
        </w:numPr>
        <w:bidi w:val="0"/>
        <w:spacing w:before="0" w:after="0"/>
        <w:rPr/>
      </w:pPr>
      <w:r>
        <w:rPr/>
        <w:t>Selecione auditores por competência em sistemas de gestão e domínio de IA, objetividade, confidencialidade, comunicação e independência.</w:t>
      </w:r>
    </w:p>
    <w:p>
      <w:pPr>
        <w:pStyle w:val="BodyText"/>
        <w:numPr>
          <w:ilvl w:val="0"/>
          <w:numId w:val="27"/>
        </w:numPr>
        <w:bidi w:val="0"/>
        <w:spacing w:before="0" w:after="0"/>
        <w:rPr/>
      </w:pPr>
      <w:r>
        <w:rPr/>
        <w:t>Use entrevistas, revisão documental, observação, rastreamento ponta a ponta, análise de dados, amostragem, reexecução e demonstração técnica segura.</w:t>
      </w:r>
    </w:p>
    <w:p>
      <w:pPr>
        <w:pStyle w:val="BodyText"/>
        <w:numPr>
          <w:ilvl w:val="0"/>
          <w:numId w:val="27"/>
        </w:numPr>
        <w:bidi w:val="0"/>
        <w:spacing w:before="0" w:after="0"/>
        <w:rPr/>
      </w:pPr>
      <w:r>
        <w:rPr/>
        <w:t>Reporte resultados à gestão relevante e assegure correção/ação corretiva e acompanhamento da eficácia.</w:t>
      </w:r>
    </w:p>
    <w:p>
      <w:pPr>
        <w:pStyle w:val="Heading2"/>
        <w:tabs>
          <w:tab w:val="clear" w:pos="709"/>
          <w:tab w:val="left" w:pos="0" w:leader="none"/>
        </w:tabs>
        <w:bidi w:val="0"/>
        <w:ind w:hanging="0" w:start="0"/>
        <w:jc w:val="left"/>
        <w:rPr/>
        <w:keepNext/>
      </w:pPr>
      <w:bookmarkStart w:id="50" w:name="papel-de-trabalho-de-auditoria"/>
      <w:r>
        <w:rPr/>
        <w:t>17.2 Papel de trabalho de auditoria</w:t>
      </w:r>
      <w:bookmarkEnd w:id="50"/>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Exemplo</w:t>
            </w:r>
          </w:p>
        </w:tc>
      </w:tr>
      <w:tr>
        <w:trPr>
          <w:cantSplit/>
        </w:trPr>
        <w:tc>
          <w:tcPr>
            <w:tcW w:w="4680" w:type="dxa"/>
            <w:tcBorders/>
            <w:vAlign w:val="center"/>
          </w:tcPr>
          <w:p>
            <w:pPr>
              <w:pStyle w:val="TableContents"/>
              <w:suppressLineNumbers/>
              <w:bidi w:val="0"/>
              <w:spacing w:before="0" w:after="40"/>
              <w:ind w:hanging="0" w:start="43" w:end="43"/>
              <w:rPr/>
            </w:pPr>
            <w:r>
              <w:rPr>
                <w:sz w:val="19"/>
              </w:rPr>
              <w:t>Critérios</w:t>
            </w:r>
          </w:p>
        </w:tc>
        <w:tc>
          <w:tcPr>
            <w:tcW w:w="4680" w:type="dxa"/>
            <w:tcBorders/>
            <w:vAlign w:val="center"/>
          </w:tcPr>
          <w:p>
            <w:pPr>
              <w:pStyle w:val="TableContents"/>
              <w:suppressLineNumbers/>
              <w:bidi w:val="0"/>
              <w:spacing w:before="0" w:after="40"/>
              <w:ind w:hanging="0" w:start="43" w:end="43"/>
              <w:rPr/>
            </w:pPr>
            <w:r>
              <w:rPr>
                <w:sz w:val="19"/>
              </w:rPr>
              <w:t>Cláusula/controle exato, procedimento interno, lei/contrato conforme aplicável</w:t>
            </w:r>
          </w:p>
        </w:tc>
      </w:tr>
      <w:tr>
        <w:trPr>
          <w:cantSplit/>
        </w:trPr>
        <w:tc>
          <w:tcPr>
            <w:tcW w:w="4680" w:type="dxa"/>
            <w:tcBorders/>
            <w:vAlign w:val="center"/>
          </w:tcPr>
          <w:p>
            <w:pPr>
              <w:pStyle w:val="TableContents"/>
              <w:suppressLineNumbers/>
              <w:bidi w:val="0"/>
              <w:spacing w:before="0" w:after="40"/>
              <w:ind w:hanging="0" w:start="43" w:end="43"/>
              <w:rPr/>
            </w:pPr>
            <w:r>
              <w:rPr>
                <w:sz w:val="19"/>
              </w:rPr>
              <w:t>Escopo/amostra</w:t>
            </w:r>
          </w:p>
        </w:tc>
        <w:tc>
          <w:tcPr>
            <w:tcW w:w="4680" w:type="dxa"/>
            <w:tcBorders/>
            <w:vAlign w:val="center"/>
          </w:tcPr>
          <w:p>
            <w:pPr>
              <w:pStyle w:val="TableContents"/>
              <w:suppressLineNumbers/>
              <w:bidi w:val="0"/>
              <w:spacing w:before="0" w:after="40"/>
              <w:ind w:hanging="0" w:start="43" w:end="43"/>
              <w:rPr/>
            </w:pPr>
            <w:r>
              <w:rPr>
                <w:sz w:val="19"/>
              </w:rPr>
              <w:t>Processo, sistema/versão de IA, período, população e justificativa da seleção</w:t>
            </w:r>
          </w:p>
        </w:tc>
      </w:tr>
      <w:tr>
        <w:trPr>
          <w:cantSplit/>
        </w:trPr>
        <w:tc>
          <w:tcPr>
            <w:tcW w:w="4680" w:type="dxa"/>
            <w:tcBorders/>
            <w:vAlign w:val="center"/>
          </w:tcPr>
          <w:p>
            <w:pPr>
              <w:pStyle w:val="TableContents"/>
              <w:suppressLineNumbers/>
              <w:bidi w:val="0"/>
              <w:spacing w:before="0" w:after="40"/>
              <w:ind w:hanging="0" w:start="43" w:end="43"/>
              <w:rPr/>
            </w:pPr>
            <w:r>
              <w:rPr>
                <w:sz w:val="19"/>
              </w:rPr>
              <w:t>Evidência</w:t>
            </w:r>
          </w:p>
        </w:tc>
        <w:tc>
          <w:tcPr>
            <w:tcW w:w="4680" w:type="dxa"/>
            <w:tcBorders/>
            <w:vAlign w:val="center"/>
          </w:tcPr>
          <w:p>
            <w:pPr>
              <w:pStyle w:val="TableContents"/>
              <w:suppressLineNumbers/>
              <w:bidi w:val="0"/>
              <w:spacing w:before="0" w:after="40"/>
              <w:ind w:hanging="0" w:start="43" w:end="43"/>
              <w:rPr/>
            </w:pPr>
            <w:r>
              <w:rPr>
                <w:sz w:val="19"/>
              </w:rPr>
              <w:t>Fonte, proprietário, data, versão, consulta, observação e confiabilidade</w:t>
            </w:r>
          </w:p>
        </w:tc>
      </w:tr>
      <w:tr>
        <w:trPr>
          <w:cantSplit/>
        </w:trPr>
        <w:tc>
          <w:tcPr>
            <w:tcW w:w="4680" w:type="dxa"/>
            <w:tcBorders/>
            <w:vAlign w:val="center"/>
          </w:tcPr>
          <w:p>
            <w:pPr>
              <w:pStyle w:val="TableContents"/>
              <w:suppressLineNumbers/>
              <w:bidi w:val="0"/>
              <w:spacing w:before="0" w:after="40"/>
              <w:ind w:hanging="0" w:start="43" w:end="43"/>
              <w:rPr/>
            </w:pPr>
            <w:r>
              <w:rPr>
                <w:sz w:val="19"/>
              </w:rPr>
              <w:t>Teste/resultado</w:t>
            </w:r>
          </w:p>
        </w:tc>
        <w:tc>
          <w:tcPr>
            <w:tcW w:w="4680" w:type="dxa"/>
            <w:tcBorders/>
            <w:vAlign w:val="center"/>
          </w:tcPr>
          <w:p>
            <w:pPr>
              <w:pStyle w:val="TableContents"/>
              <w:suppressLineNumbers/>
              <w:bidi w:val="0"/>
              <w:spacing w:before="0" w:after="40"/>
              <w:ind w:hanging="0" w:start="43" w:end="43"/>
              <w:rPr/>
            </w:pPr>
            <w:r>
              <w:rPr>
                <w:sz w:val="19"/>
              </w:rPr>
              <w:t>Projeto e operação, esperado versus observado e exceções</w:t>
            </w:r>
          </w:p>
        </w:tc>
      </w:tr>
      <w:tr>
        <w:trPr>
          <w:cantSplit/>
        </w:trPr>
        <w:tc>
          <w:tcPr>
            <w:tcW w:w="4680" w:type="dxa"/>
            <w:tcBorders/>
            <w:vAlign w:val="center"/>
          </w:tcPr>
          <w:p>
            <w:pPr>
              <w:pStyle w:val="TableContents"/>
              <w:suppressLineNumbers/>
              <w:bidi w:val="0"/>
              <w:spacing w:before="0" w:after="40"/>
              <w:ind w:hanging="0" w:start="43" w:end="43"/>
              <w:rPr/>
            </w:pPr>
            <w:r>
              <w:rPr>
                <w:sz w:val="19"/>
              </w:rPr>
              <w:t>Conclusão</w:t>
            </w:r>
          </w:p>
        </w:tc>
        <w:tc>
          <w:tcPr>
            <w:tcW w:w="4680" w:type="dxa"/>
            <w:tcBorders/>
            <w:vAlign w:val="center"/>
          </w:tcPr>
          <w:p>
            <w:pPr>
              <w:pStyle w:val="TableContents"/>
              <w:suppressLineNumbers/>
              <w:bidi w:val="0"/>
              <w:spacing w:before="0" w:after="40"/>
              <w:ind w:hanging="0" w:start="43" w:end="43"/>
              <w:rPr/>
            </w:pPr>
            <w:r>
              <w:rPr>
                <w:sz w:val="19"/>
              </w:rPr>
              <w:t>Conforme, oportunidade, observação ou não conformidade com base objetiva</w:t>
            </w:r>
          </w:p>
        </w:tc>
      </w:tr>
      <w:tr>
        <w:trPr>
          <w:cantSplit/>
        </w:trPr>
        <w:tc>
          <w:tcPr>
            <w:tcW w:w="4680" w:type="dxa"/>
            <w:tcBorders/>
            <w:vAlign w:val="center"/>
          </w:tcPr>
          <w:p>
            <w:pPr>
              <w:pStyle w:val="TableContents"/>
              <w:suppressLineNumbers/>
              <w:bidi w:val="0"/>
              <w:spacing w:before="0" w:after="40"/>
              <w:ind w:hanging="0" w:start="43" w:end="43"/>
              <w:rPr/>
            </w:pPr>
            <w:r>
              <w:rPr>
                <w:sz w:val="19"/>
              </w:rPr>
              <w:t>Acompanhamento</w:t>
            </w:r>
          </w:p>
        </w:tc>
        <w:tc>
          <w:tcPr>
            <w:tcW w:w="4680" w:type="dxa"/>
            <w:tcBorders/>
            <w:vAlign w:val="center"/>
          </w:tcPr>
          <w:p>
            <w:pPr>
              <w:pStyle w:val="TableContents"/>
              <w:suppressLineNumbers/>
              <w:bidi w:val="0"/>
              <w:spacing w:before="0" w:after="40"/>
              <w:ind w:hanging="0" w:start="43" w:end="43"/>
              <w:rPr/>
            </w:pPr>
            <w:r>
              <w:rPr>
                <w:sz w:val="19"/>
              </w:rPr>
              <w:t>Correção, causa-raiz, ação corretiva, proprietário/data e eficácia</w:t>
            </w:r>
          </w:p>
        </w:tc>
      </w:tr>
    </w:tbl>
    <w:p>
      <w:pPr>
        <w:pStyle w:val="Heading1"/>
        <w:tabs>
          <w:tab w:val="clear" w:pos="709"/>
          <w:tab w:val="left" w:pos="0" w:leader="none"/>
        </w:tabs>
        <w:bidi w:val="0"/>
        <w:ind w:hanging="0" w:start="0"/>
        <w:jc w:val="left"/>
        <w:rPr/>
        <w:keepNext/>
      </w:pPr>
      <w:bookmarkStart w:id="51" w:name="cláusula-9.3-análise-crítica-pela-direçã"/>
      <w:r>
        <w:rPr/>
        <w:t>18. Cláusula 9.3: Análise crítica pela direção</w:t>
      </w:r>
      <w:bookmarkEnd w:id="51"/>
    </w:p>
    <w:p>
      <w:pPr>
        <w:pStyle w:val="Firstparagraph"/>
        <w:bidi w:val="0"/>
        <w:rPr>
          <w:i/>
          <w:iCs/>
        </w:rPr>
      </w:pPr>
      <w:r>
        <w:rPr>
          <w:i/>
          <w:iCs/>
        </w:rPr>
        <w:t>A análise crítica pela direção assegura que a alta direção avalie adequação, suficiência, eficácia, direção, recursos e melhoria.</w:t>
      </w:r>
    </w:p>
    <w:p>
      <w:pPr>
        <w:pStyle w:val="Heading2"/>
        <w:tabs>
          <w:tab w:val="clear" w:pos="709"/>
          <w:tab w:val="left" w:pos="0" w:leader="none"/>
        </w:tabs>
        <w:bidi w:val="0"/>
        <w:ind w:hanging="0" w:start="0"/>
        <w:jc w:val="left"/>
        <w:rPr/>
        <w:keepNext/>
      </w:pPr>
      <w:bookmarkStart w:id="52" w:name="entradas"/>
      <w:r>
        <w:rPr/>
        <w:t>18.1 Entradas</w:t>
      </w:r>
      <w:bookmarkEnd w:id="52"/>
    </w:p>
    <w:p>
      <w:pPr>
        <w:pStyle w:val="BodyText"/>
        <w:numPr>
          <w:ilvl w:val="0"/>
          <w:numId w:val="28"/>
        </w:numPr>
        <w:bidi w:val="0"/>
        <w:spacing w:before="0" w:after="0"/>
        <w:rPr/>
      </w:pPr>
      <w:r>
        <w:rPr/>
        <w:t>Status das ações de análises anteriores e mudanças em questões internas/externas ou requisitos de partes interessadas.</w:t>
      </w:r>
    </w:p>
    <w:p>
      <w:pPr>
        <w:pStyle w:val="BodyText"/>
        <w:numPr>
          <w:ilvl w:val="0"/>
          <w:numId w:val="28"/>
        </w:numPr>
        <w:bidi w:val="0"/>
        <w:spacing w:before="0" w:after="0"/>
        <w:rPr/>
      </w:pPr>
      <w:r>
        <w:rPr/>
        <w:t>Desempenho e tendências do SGIA: objetivos, não conformidades/ações corretivas, monitoramento/medição, auditorias internas e asseguração externa relevante.</w:t>
      </w:r>
    </w:p>
    <w:p>
      <w:pPr>
        <w:pStyle w:val="BodyText"/>
        <w:numPr>
          <w:ilvl w:val="0"/>
          <w:numId w:val="28"/>
        </w:numPr>
        <w:bidi w:val="0"/>
        <w:spacing w:before="0" w:after="0"/>
        <w:rPr/>
      </w:pPr>
      <w:r>
        <w:rPr/>
        <w:t>Resultados de avaliações de risco e impacto, status do tratamento, mudanças na Declaração de Aplicabilidade, incidentes, reclamações, preocupações, reparação e mudanças de fornecedores e legais.</w:t>
      </w:r>
    </w:p>
    <w:p>
      <w:pPr>
        <w:pStyle w:val="BodyText"/>
        <w:numPr>
          <w:ilvl w:val="0"/>
          <w:numId w:val="28"/>
        </w:numPr>
        <w:bidi w:val="0"/>
        <w:spacing w:before="0" w:after="0"/>
        <w:rPr/>
      </w:pPr>
      <w:r>
        <w:rPr/>
        <w:t>Adequação de recursos, competência, independência, infraestrutura, dados, ferramentas e orçamento.</w:t>
      </w:r>
    </w:p>
    <w:p>
      <w:pPr>
        <w:pStyle w:val="BodyText"/>
        <w:numPr>
          <w:ilvl w:val="0"/>
          <w:numId w:val="28"/>
        </w:numPr>
        <w:bidi w:val="0"/>
        <w:spacing w:before="0" w:after="0"/>
        <w:rPr/>
      </w:pPr>
      <w:r>
        <w:rPr/>
        <w:t>Oportunidades de melhoria contínua e alinhamento estratégico.</w:t>
      </w:r>
    </w:p>
    <w:p>
      <w:pPr>
        <w:pStyle w:val="Heading2"/>
        <w:tabs>
          <w:tab w:val="clear" w:pos="709"/>
          <w:tab w:val="left" w:pos="0" w:leader="none"/>
        </w:tabs>
        <w:bidi w:val="0"/>
        <w:ind w:hanging="0" w:start="0"/>
        <w:jc w:val="left"/>
        <w:rPr/>
        <w:keepNext/>
      </w:pPr>
      <w:bookmarkStart w:id="53" w:name="saídas"/>
      <w:r>
        <w:rPr/>
        <w:t>18.2 Saídas</w:t>
      </w:r>
      <w:bookmarkEnd w:id="53"/>
    </w:p>
    <w:p>
      <w:pPr>
        <w:pStyle w:val="BodyText"/>
        <w:numPr>
          <w:ilvl w:val="0"/>
          <w:numId w:val="29"/>
        </w:numPr>
        <w:bidi w:val="0"/>
        <w:spacing w:before="0" w:after="0"/>
        <w:rPr/>
      </w:pPr>
      <w:r>
        <w:rPr/>
        <w:t>Decisões e ações sobre melhoria, mudanças em escopo/política/objetivos/processos/controles do SGIA, necessidades de recursos, decisões de risco e direção estratégica.</w:t>
      </w:r>
    </w:p>
    <w:p>
      <w:pPr>
        <w:pStyle w:val="BodyText"/>
        <w:numPr>
          <w:ilvl w:val="0"/>
          <w:numId w:val="29"/>
        </w:numPr>
        <w:bidi w:val="0"/>
        <w:spacing w:before="0" w:after="0"/>
        <w:rPr/>
      </w:pPr>
      <w:r>
        <w:rPr/>
        <w:t>Para cada ação: justificativa, proprietário, data de vencimento, recursos, resultado esperado, medida, dependência, escalonamento e acompanhamento.</w:t>
      </w:r>
    </w:p>
    <w:p>
      <w:pPr>
        <w:pStyle w:val="BodyText"/>
        <w:numPr>
          <w:ilvl w:val="0"/>
          <w:numId w:val="29"/>
        </w:numPr>
        <w:bidi w:val="0"/>
        <w:spacing w:before="0" w:after="0"/>
        <w:rPr/>
      </w:pPr>
      <w:r>
        <w:rPr/>
        <w:t>Preserve pauta, materiais, participantes/autoridade, discussão, decisões, divergências/preocupações, ações e evidência de encerramento.</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Evite uma análise crítica que seja apenas apresentação:</w:t>
      </w:r>
      <w:r>
        <w:rPr/>
        <w:t xml:space="preserve"> A análise crítica pela direção é um processo decisório. Um painel sem questionamento, decisões de risco, compromissos de recursos, ações e acompanhamento constitui evidência fraca.</w:t>
      </w:r>
    </w:p>
    <w:p>
      <w:pPr>
        <w:pStyle w:val="Heading1"/>
        <w:tabs>
          <w:tab w:val="clear" w:pos="709"/>
          <w:tab w:val="left" w:pos="0" w:leader="none"/>
        </w:tabs>
        <w:bidi w:val="0"/>
        <w:ind w:hanging="0" w:start="0"/>
        <w:jc w:val="left"/>
        <w:rPr/>
        <w:keepNext/>
      </w:pPr>
      <w:bookmarkStart w:id="54" w:name="cláusula-10-não-conformidade-ação-corret"/>
      <w:r>
        <w:rPr/>
        <w:t>19. Cláusula 10: Não conformidade, ação corretiva e melhoria contínua</w:t>
      </w:r>
      <w:bookmarkEnd w:id="54"/>
    </w:p>
    <w:p>
      <w:pPr>
        <w:pStyle w:val="Firstparagraph"/>
        <w:bidi w:val="0"/>
        <w:rPr>
          <w:i/>
          <w:iCs/>
        </w:rPr>
      </w:pPr>
      <w:r>
        <w:rPr>
          <w:i/>
          <w:iCs/>
        </w:rPr>
        <w:t>A melhoria corrige problemas, remove causas, verifica eficácia e fortalece o SGIA à medida que risco e tecnologia mudam.</w:t>
      </w:r>
    </w:p>
    <w:p>
      <w:pPr>
        <w:pStyle w:val="Heading2"/>
        <w:tabs>
          <w:tab w:val="clear" w:pos="709"/>
          <w:tab w:val="left" w:pos="0" w:leader="none"/>
        </w:tabs>
        <w:bidi w:val="0"/>
        <w:ind w:hanging="0" w:start="0"/>
        <w:jc w:val="left"/>
        <w:rPr/>
        <w:keepNext/>
      </w:pPr>
      <w:bookmarkStart w:id="55" w:name="método-de-ação-corretiva"/>
      <w:r>
        <w:rPr/>
        <w:t>19.1 Método de ação corretiva</w:t>
      </w:r>
      <w:bookmarkEnd w:id="55"/>
    </w:p>
    <w:p>
      <w:pPr>
        <w:pStyle w:val="BodyText"/>
        <w:numPr>
          <w:ilvl w:val="0"/>
          <w:numId w:val="30"/>
        </w:numPr>
        <w:bidi w:val="0"/>
        <w:spacing w:before="0" w:after="0"/>
        <w:rPr/>
      </w:pPr>
      <w:r>
        <w:rPr/>
        <w:t>Reaja à não conformidade; controle/corrija; trate consequências, pessoas afetadas, decisões, dados, sistemas e comunicações.</w:t>
      </w:r>
    </w:p>
    <w:p>
      <w:pPr>
        <w:pStyle w:val="BodyText"/>
        <w:numPr>
          <w:ilvl w:val="0"/>
          <w:numId w:val="30"/>
        </w:numPr>
        <w:bidi w:val="0"/>
        <w:spacing w:before="0" w:after="0"/>
        <w:rPr/>
      </w:pPr>
      <w:r>
        <w:rPr/>
        <w:t>Avalie causa e recorrência: revise evidências, determine por que controles falharam ou foram contornados e encontre condições semelhantes em outros pontos.</w:t>
      </w:r>
    </w:p>
    <w:p>
      <w:pPr>
        <w:pStyle w:val="BodyText"/>
        <w:numPr>
          <w:ilvl w:val="0"/>
          <w:numId w:val="30"/>
        </w:numPr>
        <w:bidi w:val="0"/>
        <w:spacing w:before="0" w:after="0"/>
        <w:rPr/>
      </w:pPr>
      <w:r>
        <w:rPr/>
        <w:t>Implemente ação proporcional com proprietário, data, recursos, proteção temporária, controle de mudanças e reavaliação de risco/impacto.</w:t>
      </w:r>
    </w:p>
    <w:p>
      <w:pPr>
        <w:pStyle w:val="BodyText"/>
        <w:numPr>
          <w:ilvl w:val="0"/>
          <w:numId w:val="30"/>
        </w:numPr>
        <w:bidi w:val="0"/>
        <w:spacing w:before="0" w:after="0"/>
        <w:rPr/>
      </w:pPr>
      <w:r>
        <w:rPr/>
        <w:t>Revise eficácia com evidência definida após operação suficiente; não encerre apenas porque um novo documento foi criado.</w:t>
      </w:r>
    </w:p>
    <w:p>
      <w:pPr>
        <w:pStyle w:val="BodyText"/>
        <w:numPr>
          <w:ilvl w:val="0"/>
          <w:numId w:val="30"/>
        </w:numPr>
        <w:bidi w:val="0"/>
        <w:spacing w:before="0" w:after="0"/>
        <w:rPr/>
      </w:pPr>
      <w:r>
        <w:rPr/>
        <w:t>Atualize riscos, impactos, controles, objetivos, competência, termos de fornecedores, monitoramento, programa de auditoria e informação documentada conforme necessário.</w:t>
      </w:r>
    </w:p>
    <w:p>
      <w:pPr>
        <w:pStyle w:val="BodyText"/>
        <w:numPr>
          <w:ilvl w:val="0"/>
          <w:numId w:val="30"/>
        </w:numPr>
        <w:bidi w:val="0"/>
        <w:spacing w:before="0" w:after="0"/>
        <w:rPr/>
      </w:pPr>
      <w:r>
        <w:rPr/>
        <w:t>Preserve a natureza da não conformidade, ações e resultados de eficácia.</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Resposta fraca</w:t>
            </w:r>
          </w:p>
        </w:tc>
        <w:tc>
          <w:tcPr>
            <w:tcW w:w="4680" w:type="dxa"/>
            <w:tcBorders/>
            <w:vAlign w:val="center"/>
            <w:shd w:fill="1F4E78"/>
          </w:tcPr>
          <w:p>
            <w:pPr>
              <w:pStyle w:val="TableHeading"/>
              <w:bidi w:val="0"/>
              <w:spacing w:before="0" w:after="40"/>
              <w:rPr>
                <w:b/>
                <w:bCs/>
              </w:rPr>
            </w:pPr>
            <w:r>
              <w:rPr>
                <w:b/>
                <w:bCs/>
                <w:sz w:val="19"/>
                <w:color w:val="FFFFFF"/>
              </w:rPr>
              <w:t>Resposta mais forte</w:t>
            </w:r>
          </w:p>
        </w:tc>
      </w:tr>
      <w:tr>
        <w:trPr>
          <w:cantSplit/>
        </w:trPr>
        <w:tc>
          <w:tcPr>
            <w:tcW w:w="4680" w:type="dxa"/>
            <w:tcBorders/>
            <w:vAlign w:val="center"/>
          </w:tcPr>
          <w:p>
            <w:pPr>
              <w:pStyle w:val="TableContents"/>
              <w:suppressLineNumbers/>
              <w:bidi w:val="0"/>
              <w:spacing w:before="0" w:after="40"/>
              <w:ind w:hanging="0" w:start="43" w:end="43"/>
              <w:rPr/>
            </w:pPr>
            <w:r>
              <w:rPr>
                <w:sz w:val="19"/>
              </w:rPr>
              <w:t>Treinar novamente o empregado</w:t>
            </w:r>
          </w:p>
        </w:tc>
        <w:tc>
          <w:tcPr>
            <w:tcW w:w="4680" w:type="dxa"/>
            <w:tcBorders/>
            <w:vAlign w:val="center"/>
          </w:tcPr>
          <w:p>
            <w:pPr>
              <w:pStyle w:val="TableContents"/>
              <w:suppressLineNumbers/>
              <w:bidi w:val="0"/>
              <w:spacing w:before="0" w:after="40"/>
              <w:ind w:hanging="0" w:start="43" w:end="43"/>
              <w:rPr/>
            </w:pPr>
            <w:r>
              <w:rPr>
                <w:sz w:val="19"/>
              </w:rPr>
              <w:t>Examine processo pouco claro, carga, incentivos, interface, acesso, aprovação e monitoramento; corrija causas sistêmicas</w:t>
            </w:r>
          </w:p>
        </w:tc>
      </w:tr>
      <w:tr>
        <w:trPr>
          <w:cantSplit/>
        </w:trPr>
        <w:tc>
          <w:tcPr>
            <w:tcW w:w="4680" w:type="dxa"/>
            <w:tcBorders/>
            <w:vAlign w:val="center"/>
          </w:tcPr>
          <w:p>
            <w:pPr>
              <w:pStyle w:val="TableContents"/>
              <w:suppressLineNumbers/>
              <w:bidi w:val="0"/>
              <w:spacing w:before="0" w:after="40"/>
              <w:ind w:hanging="0" w:start="43" w:end="43"/>
              <w:rPr/>
            </w:pPr>
            <w:r>
              <w:rPr>
                <w:sz w:val="19"/>
              </w:rPr>
              <w:t>Atualizar política</w:t>
            </w:r>
          </w:p>
        </w:tc>
        <w:tc>
          <w:tcPr>
            <w:tcW w:w="4680" w:type="dxa"/>
            <w:tcBorders/>
            <w:vAlign w:val="center"/>
          </w:tcPr>
          <w:p>
            <w:pPr>
              <w:pStyle w:val="TableContents"/>
              <w:suppressLineNumbers/>
              <w:bidi w:val="0"/>
              <w:spacing w:before="0" w:after="40"/>
              <w:ind w:hanging="0" w:start="43" w:end="43"/>
              <w:rPr/>
            </w:pPr>
            <w:r>
              <w:rPr>
                <w:sz w:val="19"/>
              </w:rPr>
              <w:t>Altere fluxo/controle, comunique, treine, teste operação e monitore recorrência</w:t>
            </w:r>
          </w:p>
        </w:tc>
      </w:tr>
      <w:tr>
        <w:trPr>
          <w:cantSplit/>
        </w:trPr>
        <w:tc>
          <w:tcPr>
            <w:tcW w:w="4680" w:type="dxa"/>
            <w:tcBorders/>
            <w:vAlign w:val="center"/>
          </w:tcPr>
          <w:p>
            <w:pPr>
              <w:pStyle w:val="TableContents"/>
              <w:suppressLineNumbers/>
              <w:bidi w:val="0"/>
              <w:spacing w:before="0" w:after="40"/>
              <w:ind w:hanging="0" w:start="43" w:end="43"/>
              <w:rPr/>
            </w:pPr>
            <w:r>
              <w:rPr>
                <w:sz w:val="19"/>
              </w:rPr>
              <w:t>O fornecedor corrigirá</w:t>
            </w:r>
          </w:p>
        </w:tc>
        <w:tc>
          <w:tcPr>
            <w:tcW w:w="4680" w:type="dxa"/>
            <w:tcBorders/>
            <w:vAlign w:val="center"/>
          </w:tcPr>
          <w:p>
            <w:pPr>
              <w:pStyle w:val="TableContents"/>
              <w:suppressLineNumbers/>
              <w:bidi w:val="0"/>
              <w:spacing w:before="0" w:after="40"/>
              <w:ind w:hanging="0" w:start="43" w:end="43"/>
              <w:rPr/>
            </w:pPr>
            <w:r>
              <w:rPr>
                <w:sz w:val="19"/>
              </w:rPr>
              <w:t>Acompanhe contrato, mitigação, controle do cliente, prazo, teste, risco residual e alternativa/saída</w:t>
            </w:r>
          </w:p>
        </w:tc>
      </w:tr>
      <w:tr>
        <w:trPr>
          <w:cantSplit/>
        </w:trPr>
        <w:tc>
          <w:tcPr>
            <w:tcW w:w="4680" w:type="dxa"/>
            <w:tcBorders/>
            <w:vAlign w:val="center"/>
          </w:tcPr>
          <w:p>
            <w:pPr>
              <w:pStyle w:val="TableContents"/>
              <w:suppressLineNumbers/>
              <w:bidi w:val="0"/>
              <w:spacing w:before="0" w:after="40"/>
              <w:ind w:hanging="0" w:start="43" w:end="43"/>
              <w:rPr/>
            </w:pPr>
            <w:r>
              <w:rPr>
                <w:sz w:val="19"/>
              </w:rPr>
              <w:t>Constatação encerrada</w:t>
            </w:r>
          </w:p>
        </w:tc>
        <w:tc>
          <w:tcPr>
            <w:tcW w:w="4680" w:type="dxa"/>
            <w:tcBorders/>
            <w:vAlign w:val="center"/>
          </w:tcPr>
          <w:p>
            <w:pPr>
              <w:pStyle w:val="TableContents"/>
              <w:suppressLineNumbers/>
              <w:bidi w:val="0"/>
              <w:spacing w:before="0" w:after="40"/>
              <w:ind w:hanging="0" w:start="43" w:end="43"/>
              <w:rPr/>
            </w:pPr>
            <w:r>
              <w:rPr>
                <w:sz w:val="19"/>
              </w:rPr>
              <w:t>Evidência de correção mais ação de causa-raiz e análise de eficácia em condições semelhantes</w:t>
            </w:r>
          </w:p>
        </w:tc>
      </w:tr>
    </w:tbl>
    <w:p>
      <w:pPr>
        <w:pStyle w:val="Heading1"/>
        <w:tabs>
          <w:tab w:val="clear" w:pos="709"/>
          <w:tab w:val="left" w:pos="0" w:leader="none"/>
        </w:tabs>
        <w:bidi w:val="0"/>
        <w:ind w:hanging="0" w:start="0"/>
        <w:jc w:val="left"/>
        <w:rPr/>
        <w:keepNext/>
      </w:pPr>
      <w:bookmarkStart w:id="56" w:name="anexos-ad-e-a-declaração-de-aplicabilida"/>
      <w:r>
        <w:rPr/>
        <w:t>20. Anexos A–D e a Declaração de Aplicabilidade</w:t>
      </w:r>
      <w:bookmarkEnd w:id="56"/>
    </w:p>
    <w:p>
      <w:pPr>
        <w:pStyle w:val="Firstparagraph"/>
        <w:bidi w:val="0"/>
        <w:rPr>
          <w:i/>
          <w:iCs/>
        </w:rPr>
      </w:pPr>
      <w:r>
        <w:rPr>
          <w:i/>
          <w:iCs/>
        </w:rPr>
        <w:t>O Anexo A é um conjunto de referência de 38 controles em nove grupos; o Anexo B fornece orientação, o Anexo C apresenta ideias de objetivos de IA e fontes de risco e o Anexo D apoia uso por setores e domínios.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160"/>
        <w:gridCol w:w="2160"/>
        <w:gridCol w:w="2880"/>
        <w:gridCol w:w="2160"/>
      </w:tblGrid>
      <w:tr>
        <w:trPr>
          <w:tblHeader w:val="true"/>
          <w:cantSplit/>
        </w:trPr>
        <w:tc>
          <w:tcPr>
            <w:tcW w:w="2160" w:type="dxa"/>
            <w:tcBorders/>
            <w:vAlign w:val="center"/>
            <w:shd w:fill="1F4E78"/>
          </w:tcPr>
          <w:p>
            <w:pPr>
              <w:pStyle w:val="TableHeading"/>
              <w:bidi w:val="0"/>
              <w:spacing w:before="0" w:after="40"/>
              <w:rPr>
                <w:b/>
                <w:bCs/>
              </w:rPr>
            </w:pPr>
            <w:r>
              <w:rPr>
                <w:b/>
                <w:bCs/>
                <w:sz w:val="19"/>
                <w:color w:val="FFFFFF"/>
              </w:rPr>
              <w:t>Grupo</w:t>
            </w:r>
          </w:p>
        </w:tc>
        <w:tc>
          <w:tcPr>
            <w:tcW w:w="2160" w:type="dxa"/>
            <w:tcBorders/>
            <w:vAlign w:val="center"/>
            <w:shd w:fill="1F4E78"/>
          </w:tcPr>
          <w:p>
            <w:pPr>
              <w:pStyle w:val="TableHeading"/>
              <w:bidi w:val="0"/>
              <w:spacing w:before="0" w:after="40"/>
              <w:rPr>
                <w:b/>
                <w:bCs/>
              </w:rPr>
            </w:pPr>
            <w:r>
              <w:rPr>
                <w:b/>
                <w:bCs/>
                <w:sz w:val="19"/>
                <w:color w:val="FFFFFF"/>
              </w:rPr>
              <w:t>Tema</w:t>
            </w:r>
          </w:p>
        </w:tc>
        <w:tc>
          <w:tcPr>
            <w:tcW w:w="2880" w:type="dxa"/>
            <w:tcBorders/>
            <w:vAlign w:val="center"/>
            <w:shd w:fill="1F4E78"/>
          </w:tcPr>
          <w:p>
            <w:pPr>
              <w:pStyle w:val="TableHeading"/>
              <w:bidi w:val="0"/>
              <w:spacing w:before="0" w:after="40"/>
              <w:jc w:val="end"/>
              <w:rPr>
                <w:b/>
                <w:bCs/>
              </w:rPr>
            </w:pPr>
            <w:r>
              <w:rPr>
                <w:b/>
                <w:bCs/>
                <w:sz w:val="19"/>
                <w:color w:val="FFFFFF"/>
              </w:rPr>
              <w:t>Controles</w:t>
            </w:r>
          </w:p>
        </w:tc>
        <w:tc>
          <w:tcPr>
            <w:tcW w:w="2160" w:type="dxa"/>
            <w:tcBorders/>
            <w:vAlign w:val="center"/>
            <w:shd w:fill="1F4E78"/>
          </w:tcPr>
          <w:p>
            <w:pPr>
              <w:pStyle w:val="TableHeading"/>
              <w:bidi w:val="0"/>
              <w:spacing w:before="0" w:after="40"/>
              <w:rPr>
                <w:b/>
                <w:bCs/>
              </w:rPr>
            </w:pPr>
            <w:r>
              <w:rPr>
                <w:b/>
                <w:bCs/>
                <w:sz w:val="19"/>
                <w:color w:val="FFFFFF"/>
              </w:rPr>
              <w:t>Foco de implementação</w:t>
            </w:r>
          </w:p>
        </w:tc>
      </w:tr>
      <w:tr>
        <w:trPr>
          <w:cantSplit/>
        </w:trPr>
        <w:tc>
          <w:tcPr>
            <w:tcW w:w="2160" w:type="dxa"/>
            <w:tcBorders/>
            <w:vAlign w:val="center"/>
          </w:tcPr>
          <w:p>
            <w:pPr>
              <w:pStyle w:val="TableContents"/>
              <w:suppressLineNumbers/>
              <w:bidi w:val="0"/>
              <w:spacing w:before="0" w:after="40"/>
              <w:ind w:hanging="0" w:start="43" w:end="43"/>
              <w:rPr/>
            </w:pPr>
            <w:r>
              <w:rPr>
                <w:sz w:val="19"/>
              </w:rPr>
              <w:t>A.2</w:t>
            </w:r>
          </w:p>
        </w:tc>
        <w:tc>
          <w:tcPr>
            <w:tcW w:w="2160" w:type="dxa"/>
            <w:tcBorders/>
            <w:vAlign w:val="center"/>
          </w:tcPr>
          <w:p>
            <w:pPr>
              <w:pStyle w:val="TableContents"/>
              <w:suppressLineNumbers/>
              <w:bidi w:val="0"/>
              <w:spacing w:before="0" w:after="40"/>
              <w:ind w:hanging="0" w:start="43" w:end="43"/>
              <w:rPr/>
            </w:pPr>
            <w:r>
              <w:rPr>
                <w:sz w:val="19"/>
              </w:rPr>
              <w:t>Políticas relacionadas à IA</w:t>
            </w:r>
          </w:p>
        </w:tc>
        <w:tc>
          <w:tcPr>
            <w:tcW w:w="2880" w:type="dxa"/>
            <w:tcBorders/>
            <w:vAlign w:val="center"/>
          </w:tcPr>
          <w:p>
            <w:pPr>
              <w:pStyle w:val="TableContents"/>
              <w:bidi w:val="0"/>
              <w:spacing w:before="0" w:after="40"/>
              <w:jc w:val="end"/>
              <w:rPr/>
            </w:pPr>
            <w:r>
              <w:rPr>
                <w:sz w:val="19"/>
              </w:rPr>
              <w:t>3</w:t>
            </w:r>
          </w:p>
        </w:tc>
        <w:tc>
          <w:tcPr>
            <w:tcW w:w="2160" w:type="dxa"/>
            <w:tcBorders/>
            <w:vAlign w:val="center"/>
          </w:tcPr>
          <w:p>
            <w:pPr>
              <w:pStyle w:val="TableContents"/>
              <w:suppressLineNumbers/>
              <w:bidi w:val="0"/>
              <w:spacing w:before="0" w:after="40"/>
              <w:ind w:hanging="0" w:start="43" w:end="43"/>
              <w:rPr/>
            </w:pPr>
            <w:r>
              <w:rPr>
                <w:sz w:val="19"/>
              </w:rPr>
              <w:t>Política, alinhamento com outras políticas e revisão planejada ou orientada por eventos</w:t>
            </w:r>
          </w:p>
        </w:tc>
      </w:tr>
      <w:tr>
        <w:trPr>
          <w:cantSplit/>
        </w:trPr>
        <w:tc>
          <w:tcPr>
            <w:tcW w:w="2160" w:type="dxa"/>
            <w:tcBorders/>
            <w:vAlign w:val="center"/>
          </w:tcPr>
          <w:p>
            <w:pPr>
              <w:pStyle w:val="TableContents"/>
              <w:suppressLineNumbers/>
              <w:bidi w:val="0"/>
              <w:spacing w:before="0" w:after="40"/>
              <w:ind w:hanging="0" w:start="43" w:end="43"/>
              <w:rPr/>
            </w:pPr>
            <w:r>
              <w:rPr>
                <w:sz w:val="19"/>
              </w:rPr>
              <w:t>A.3</w:t>
            </w:r>
          </w:p>
        </w:tc>
        <w:tc>
          <w:tcPr>
            <w:tcW w:w="2160" w:type="dxa"/>
            <w:tcBorders/>
            <w:vAlign w:val="center"/>
          </w:tcPr>
          <w:p>
            <w:pPr>
              <w:pStyle w:val="TableContents"/>
              <w:suppressLineNumbers/>
              <w:bidi w:val="0"/>
              <w:spacing w:before="0" w:after="40"/>
              <w:ind w:hanging="0" w:start="43" w:end="43"/>
              <w:rPr/>
            </w:pPr>
            <w:r>
              <w:rPr>
                <w:sz w:val="19"/>
              </w:rPr>
              <w:t>Organização interna</w:t>
            </w:r>
          </w:p>
        </w:tc>
        <w:tc>
          <w:tcPr>
            <w:tcW w:w="2880" w:type="dxa"/>
            <w:tcBorders/>
            <w:vAlign w:val="center"/>
          </w:tcPr>
          <w:p>
            <w:pPr>
              <w:pStyle w:val="TableContents"/>
              <w:bidi w:val="0"/>
              <w:spacing w:before="0" w:after="40"/>
              <w:jc w:val="end"/>
              <w:rPr/>
            </w:pPr>
            <w:r>
              <w:rPr>
                <w:sz w:val="19"/>
              </w:rPr>
              <w:t>2</w:t>
            </w:r>
          </w:p>
        </w:tc>
        <w:tc>
          <w:tcPr>
            <w:tcW w:w="2160" w:type="dxa"/>
            <w:tcBorders/>
            <w:vAlign w:val="center"/>
          </w:tcPr>
          <w:p>
            <w:pPr>
              <w:pStyle w:val="TableContents"/>
              <w:suppressLineNumbers/>
              <w:bidi w:val="0"/>
              <w:spacing w:before="0" w:after="40"/>
              <w:ind w:hanging="0" w:start="43" w:end="43"/>
              <w:rPr/>
            </w:pPr>
            <w:r>
              <w:rPr>
                <w:sz w:val="19"/>
              </w:rPr>
              <w:t>Papéis e responsabilidades de IA mais processo protegido para relatar preocupações</w:t>
            </w:r>
          </w:p>
        </w:tc>
      </w:tr>
      <w:tr>
        <w:trPr>
          <w:cantSplit/>
        </w:trPr>
        <w:tc>
          <w:tcPr>
            <w:tcW w:w="2160" w:type="dxa"/>
            <w:tcBorders/>
            <w:vAlign w:val="center"/>
          </w:tcPr>
          <w:p>
            <w:pPr>
              <w:pStyle w:val="TableContents"/>
              <w:suppressLineNumbers/>
              <w:bidi w:val="0"/>
              <w:spacing w:before="0" w:after="40"/>
              <w:ind w:hanging="0" w:start="43" w:end="43"/>
              <w:rPr/>
            </w:pPr>
            <w:r>
              <w:rPr>
                <w:sz w:val="19"/>
              </w:rPr>
              <w:t>A.4</w:t>
            </w:r>
          </w:p>
        </w:tc>
        <w:tc>
          <w:tcPr>
            <w:tcW w:w="2160" w:type="dxa"/>
            <w:tcBorders/>
            <w:vAlign w:val="center"/>
          </w:tcPr>
          <w:p>
            <w:pPr>
              <w:pStyle w:val="TableContents"/>
              <w:suppressLineNumbers/>
              <w:bidi w:val="0"/>
              <w:spacing w:before="0" w:after="40"/>
              <w:ind w:hanging="0" w:start="43" w:end="43"/>
              <w:rPr/>
            </w:pPr>
            <w:r>
              <w:rPr>
                <w:sz w:val="19"/>
              </w:rPr>
              <w:t>Recursos para sistemas de IA</w:t>
            </w:r>
          </w:p>
        </w:tc>
        <w:tc>
          <w:tcPr>
            <w:tcW w:w="2880" w:type="dxa"/>
            <w:tcBorders/>
            <w:vAlign w:val="center"/>
          </w:tcPr>
          <w:p>
            <w:pPr>
              <w:pStyle w:val="TableContents"/>
              <w:bidi w:val="0"/>
              <w:spacing w:before="0" w:after="40"/>
              <w:jc w:val="end"/>
              <w:rPr/>
            </w:pPr>
            <w:r>
              <w:rPr>
                <w:sz w:val="19"/>
              </w:rPr>
              <w:t>5</w:t>
            </w:r>
          </w:p>
        </w:tc>
        <w:tc>
          <w:tcPr>
            <w:tcW w:w="2160" w:type="dxa"/>
            <w:tcBorders/>
            <w:vAlign w:val="center"/>
          </w:tcPr>
          <w:p>
            <w:pPr>
              <w:pStyle w:val="TableContents"/>
              <w:suppressLineNumbers/>
              <w:bidi w:val="0"/>
              <w:spacing w:before="0" w:after="40"/>
              <w:ind w:hanging="0" w:start="43" w:end="43"/>
              <w:rPr/>
            </w:pPr>
            <w:r>
              <w:rPr>
                <w:sz w:val="19"/>
              </w:rPr>
              <w:t>Documentar dados, ferramentas, sistema/computação e recursos humanos no ciclo de vida</w:t>
            </w:r>
          </w:p>
        </w:tc>
      </w:tr>
      <w:tr>
        <w:trPr>
          <w:cantSplit/>
        </w:trPr>
        <w:tc>
          <w:tcPr>
            <w:tcW w:w="2160" w:type="dxa"/>
            <w:tcBorders/>
            <w:vAlign w:val="center"/>
          </w:tcPr>
          <w:p>
            <w:pPr>
              <w:pStyle w:val="TableContents"/>
              <w:suppressLineNumbers/>
              <w:bidi w:val="0"/>
              <w:spacing w:before="0" w:after="40"/>
              <w:ind w:hanging="0" w:start="43" w:end="43"/>
              <w:rPr/>
            </w:pPr>
            <w:r>
              <w:rPr>
                <w:sz w:val="19"/>
              </w:rPr>
              <w:t>A.5</w:t>
            </w:r>
          </w:p>
        </w:tc>
        <w:tc>
          <w:tcPr>
            <w:tcW w:w="2160" w:type="dxa"/>
            <w:tcBorders/>
            <w:vAlign w:val="center"/>
          </w:tcPr>
          <w:p>
            <w:pPr>
              <w:pStyle w:val="TableContents"/>
              <w:suppressLineNumbers/>
              <w:bidi w:val="0"/>
              <w:spacing w:before="0" w:after="40"/>
              <w:ind w:hanging="0" w:start="43" w:end="43"/>
              <w:rPr/>
            </w:pPr>
            <w:r>
              <w:rPr>
                <w:sz w:val="19"/>
              </w:rPr>
              <w:t>Avaliação de impactos de sistemas de IA</w:t>
            </w:r>
          </w:p>
        </w:tc>
        <w:tc>
          <w:tcPr>
            <w:tcW w:w="2880" w:type="dxa"/>
            <w:tcBorders/>
            <w:vAlign w:val="center"/>
          </w:tcPr>
          <w:p>
            <w:pPr>
              <w:pStyle w:val="TableContents"/>
              <w:bidi w:val="0"/>
              <w:spacing w:before="0" w:after="40"/>
              <w:jc w:val="end"/>
              <w:rPr/>
            </w:pPr>
            <w:r>
              <w:rPr>
                <w:sz w:val="19"/>
              </w:rPr>
              <w:t>4</w:t>
            </w:r>
          </w:p>
        </w:tc>
        <w:tc>
          <w:tcPr>
            <w:tcW w:w="2160" w:type="dxa"/>
            <w:tcBorders/>
            <w:vAlign w:val="center"/>
          </w:tcPr>
          <w:p>
            <w:pPr>
              <w:pStyle w:val="TableContents"/>
              <w:suppressLineNumbers/>
              <w:bidi w:val="0"/>
              <w:spacing w:before="0" w:after="40"/>
              <w:ind w:hanging="0" w:start="43" w:end="43"/>
              <w:rPr/>
            </w:pPr>
            <w:r>
              <w:rPr>
                <w:sz w:val="19"/>
              </w:rPr>
              <w:t>Processo repetível, registros, impactos sobre pessoas/grupos e impactos sociais</w:t>
            </w:r>
          </w:p>
        </w:tc>
      </w:tr>
      <w:tr>
        <w:trPr>
          <w:cantSplit/>
        </w:trPr>
        <w:tc>
          <w:tcPr>
            <w:tcW w:w="2160" w:type="dxa"/>
            <w:tcBorders/>
            <w:vAlign w:val="center"/>
          </w:tcPr>
          <w:p>
            <w:pPr>
              <w:pStyle w:val="TableContents"/>
              <w:suppressLineNumbers/>
              <w:bidi w:val="0"/>
              <w:spacing w:before="0" w:after="40"/>
              <w:ind w:hanging="0" w:start="43" w:end="43"/>
              <w:rPr/>
            </w:pPr>
            <w:r>
              <w:rPr>
                <w:sz w:val="19"/>
              </w:rPr>
              <w:t>A.6</w:t>
            </w:r>
          </w:p>
        </w:tc>
        <w:tc>
          <w:tcPr>
            <w:tcW w:w="2160" w:type="dxa"/>
            <w:tcBorders/>
            <w:vAlign w:val="center"/>
          </w:tcPr>
          <w:p>
            <w:pPr>
              <w:pStyle w:val="TableContents"/>
              <w:suppressLineNumbers/>
              <w:bidi w:val="0"/>
              <w:spacing w:before="0" w:after="40"/>
              <w:ind w:hanging="0" w:start="43" w:end="43"/>
              <w:rPr/>
            </w:pPr>
            <w:r>
              <w:rPr>
                <w:sz w:val="19"/>
              </w:rPr>
              <w:t>Ciclo de vida do sistema de IA</w:t>
            </w:r>
          </w:p>
        </w:tc>
        <w:tc>
          <w:tcPr>
            <w:tcW w:w="2880" w:type="dxa"/>
            <w:tcBorders/>
            <w:vAlign w:val="center"/>
          </w:tcPr>
          <w:p>
            <w:pPr>
              <w:pStyle w:val="TableContents"/>
              <w:bidi w:val="0"/>
              <w:spacing w:before="0" w:after="40"/>
              <w:jc w:val="end"/>
              <w:rPr/>
            </w:pPr>
            <w:r>
              <w:rPr>
                <w:sz w:val="19"/>
              </w:rPr>
              <w:t>9</w:t>
            </w:r>
          </w:p>
        </w:tc>
        <w:tc>
          <w:tcPr>
            <w:tcW w:w="2160" w:type="dxa"/>
            <w:tcBorders/>
            <w:vAlign w:val="center"/>
          </w:tcPr>
          <w:p>
            <w:pPr>
              <w:pStyle w:val="TableContents"/>
              <w:suppressLineNumbers/>
              <w:bidi w:val="0"/>
              <w:spacing w:before="0" w:after="40"/>
              <w:ind w:hanging="0" w:start="43" w:end="43"/>
              <w:rPr/>
            </w:pPr>
            <w:r>
              <w:rPr>
                <w:sz w:val="19"/>
              </w:rPr>
              <w:t>Objetivos/processos de desenvolvimento responsável, requisitos, registros de projeto, V&amp;V, implantação, operação, documentação técnica e logs</w:t>
            </w:r>
          </w:p>
        </w:tc>
      </w:tr>
      <w:tr>
        <w:trPr>
          <w:cantSplit/>
        </w:trPr>
        <w:tc>
          <w:tcPr>
            <w:tcW w:w="2160" w:type="dxa"/>
            <w:tcBorders/>
            <w:vAlign w:val="center"/>
          </w:tcPr>
          <w:p>
            <w:pPr>
              <w:pStyle w:val="TableContents"/>
              <w:suppressLineNumbers/>
              <w:bidi w:val="0"/>
              <w:spacing w:before="0" w:after="40"/>
              <w:ind w:hanging="0" w:start="43" w:end="43"/>
              <w:rPr/>
            </w:pPr>
            <w:r>
              <w:rPr>
                <w:sz w:val="19"/>
              </w:rPr>
              <w:t>A.7</w:t>
            </w:r>
          </w:p>
        </w:tc>
        <w:tc>
          <w:tcPr>
            <w:tcW w:w="2160" w:type="dxa"/>
            <w:tcBorders/>
            <w:vAlign w:val="center"/>
          </w:tcPr>
          <w:p>
            <w:pPr>
              <w:pStyle w:val="TableContents"/>
              <w:suppressLineNumbers/>
              <w:bidi w:val="0"/>
              <w:spacing w:before="0" w:after="40"/>
              <w:ind w:hanging="0" w:start="43" w:end="43"/>
              <w:rPr/>
            </w:pPr>
            <w:r>
              <w:rPr>
                <w:sz w:val="19"/>
              </w:rPr>
              <w:t>Dados para sistemas de IA</w:t>
            </w:r>
          </w:p>
        </w:tc>
        <w:tc>
          <w:tcPr>
            <w:tcW w:w="2880" w:type="dxa"/>
            <w:tcBorders/>
            <w:vAlign w:val="center"/>
          </w:tcPr>
          <w:p>
            <w:pPr>
              <w:pStyle w:val="TableContents"/>
              <w:bidi w:val="0"/>
              <w:spacing w:before="0" w:after="40"/>
              <w:jc w:val="end"/>
              <w:rPr/>
            </w:pPr>
            <w:r>
              <w:rPr>
                <w:sz w:val="19"/>
              </w:rPr>
              <w:t>5</w:t>
            </w:r>
          </w:p>
        </w:tc>
        <w:tc>
          <w:tcPr>
            <w:tcW w:w="2160" w:type="dxa"/>
            <w:tcBorders/>
            <w:vAlign w:val="center"/>
          </w:tcPr>
          <w:p>
            <w:pPr>
              <w:pStyle w:val="TableContents"/>
              <w:suppressLineNumbers/>
              <w:bidi w:val="0"/>
              <w:spacing w:before="0" w:after="40"/>
              <w:ind w:hanging="0" w:start="43" w:end="43"/>
              <w:rPr/>
            </w:pPr>
            <w:r>
              <w:rPr>
                <w:sz w:val="19"/>
              </w:rPr>
              <w:t>Gestão, aquisição, qualidade, proveniência e preparação de dados</w:t>
            </w:r>
          </w:p>
        </w:tc>
      </w:tr>
      <w:tr>
        <w:trPr>
          <w:cantSplit/>
        </w:trPr>
        <w:tc>
          <w:tcPr>
            <w:tcW w:w="2160" w:type="dxa"/>
            <w:tcBorders/>
            <w:vAlign w:val="center"/>
          </w:tcPr>
          <w:p>
            <w:pPr>
              <w:pStyle w:val="TableContents"/>
              <w:suppressLineNumbers/>
              <w:bidi w:val="0"/>
              <w:spacing w:before="0" w:after="40"/>
              <w:ind w:hanging="0" w:start="43" w:end="43"/>
              <w:rPr/>
            </w:pPr>
            <w:r>
              <w:rPr>
                <w:sz w:val="19"/>
              </w:rPr>
              <w:t>A.8</w:t>
            </w:r>
          </w:p>
        </w:tc>
        <w:tc>
          <w:tcPr>
            <w:tcW w:w="2160" w:type="dxa"/>
            <w:tcBorders/>
            <w:vAlign w:val="center"/>
          </w:tcPr>
          <w:p>
            <w:pPr>
              <w:pStyle w:val="TableContents"/>
              <w:suppressLineNumbers/>
              <w:bidi w:val="0"/>
              <w:spacing w:before="0" w:after="40"/>
              <w:ind w:hanging="0" w:start="43" w:end="43"/>
              <w:rPr/>
            </w:pPr>
            <w:r>
              <w:rPr>
                <w:sz w:val="19"/>
              </w:rPr>
              <w:t>Informação para partes interessadas</w:t>
            </w:r>
          </w:p>
        </w:tc>
        <w:tc>
          <w:tcPr>
            <w:tcW w:w="2880" w:type="dxa"/>
            <w:tcBorders/>
            <w:vAlign w:val="center"/>
          </w:tcPr>
          <w:p>
            <w:pPr>
              <w:pStyle w:val="TableContents"/>
              <w:bidi w:val="0"/>
              <w:spacing w:before="0" w:after="40"/>
              <w:jc w:val="end"/>
              <w:rPr/>
            </w:pPr>
            <w:r>
              <w:rPr>
                <w:sz w:val="19"/>
              </w:rPr>
              <w:t>4</w:t>
            </w:r>
          </w:p>
        </w:tc>
        <w:tc>
          <w:tcPr>
            <w:tcW w:w="2160" w:type="dxa"/>
            <w:tcBorders/>
            <w:vAlign w:val="center"/>
          </w:tcPr>
          <w:p>
            <w:pPr>
              <w:pStyle w:val="TableContents"/>
              <w:suppressLineNumbers/>
              <w:bidi w:val="0"/>
              <w:spacing w:before="0" w:after="40"/>
              <w:ind w:hanging="0" w:start="43" w:end="43"/>
              <w:rPr/>
            </w:pPr>
            <w:r>
              <w:rPr>
                <w:sz w:val="19"/>
              </w:rPr>
              <w:t>Informação ao usuário, reporte externo, comunicação de incidentes e outras informações para partes interessadas</w:t>
            </w:r>
          </w:p>
        </w:tc>
      </w:tr>
      <w:tr>
        <w:trPr>
          <w:cantSplit/>
        </w:trPr>
        <w:tc>
          <w:tcPr>
            <w:tcW w:w="2160" w:type="dxa"/>
            <w:tcBorders/>
            <w:vAlign w:val="center"/>
          </w:tcPr>
          <w:p>
            <w:pPr>
              <w:pStyle w:val="TableContents"/>
              <w:suppressLineNumbers/>
              <w:bidi w:val="0"/>
              <w:spacing w:before="0" w:after="40"/>
              <w:ind w:hanging="0" w:start="43" w:end="43"/>
              <w:rPr/>
            </w:pPr>
            <w:r>
              <w:rPr>
                <w:sz w:val="19"/>
              </w:rPr>
              <w:t>A.9</w:t>
            </w:r>
          </w:p>
        </w:tc>
        <w:tc>
          <w:tcPr>
            <w:tcW w:w="2160" w:type="dxa"/>
            <w:tcBorders/>
            <w:vAlign w:val="center"/>
          </w:tcPr>
          <w:p>
            <w:pPr>
              <w:pStyle w:val="TableContents"/>
              <w:suppressLineNumbers/>
              <w:bidi w:val="0"/>
              <w:spacing w:before="0" w:after="40"/>
              <w:ind w:hanging="0" w:start="43" w:end="43"/>
              <w:rPr/>
            </w:pPr>
            <w:r>
              <w:rPr>
                <w:sz w:val="19"/>
              </w:rPr>
              <w:t>Uso de sistemas de IA</w:t>
            </w:r>
          </w:p>
        </w:tc>
        <w:tc>
          <w:tcPr>
            <w:tcW w:w="2880" w:type="dxa"/>
            <w:tcBorders/>
            <w:vAlign w:val="center"/>
          </w:tcPr>
          <w:p>
            <w:pPr>
              <w:pStyle w:val="TableContents"/>
              <w:bidi w:val="0"/>
              <w:spacing w:before="0" w:after="40"/>
              <w:jc w:val="end"/>
              <w:rPr/>
            </w:pPr>
            <w:r>
              <w:rPr>
                <w:sz w:val="19"/>
              </w:rPr>
              <w:t>3</w:t>
            </w:r>
          </w:p>
        </w:tc>
        <w:tc>
          <w:tcPr>
            <w:tcW w:w="2160" w:type="dxa"/>
            <w:tcBorders/>
            <w:vAlign w:val="center"/>
          </w:tcPr>
          <w:p>
            <w:pPr>
              <w:pStyle w:val="TableContents"/>
              <w:suppressLineNumbers/>
              <w:bidi w:val="0"/>
              <w:spacing w:before="0" w:after="40"/>
              <w:ind w:hanging="0" w:start="43" w:end="43"/>
              <w:rPr/>
            </w:pPr>
            <w:r>
              <w:rPr>
                <w:sz w:val="19"/>
              </w:rPr>
              <w:t>Processo e objetivos de uso responsável mais aderência ao uso pretendido</w:t>
            </w:r>
          </w:p>
        </w:tc>
      </w:tr>
      <w:tr>
        <w:trPr>
          <w:cantSplit/>
        </w:trPr>
        <w:tc>
          <w:tcPr>
            <w:tcW w:w="2160" w:type="dxa"/>
            <w:tcBorders/>
            <w:vAlign w:val="center"/>
          </w:tcPr>
          <w:p>
            <w:pPr>
              <w:pStyle w:val="TableContents"/>
              <w:suppressLineNumbers/>
              <w:bidi w:val="0"/>
              <w:spacing w:before="0" w:after="40"/>
              <w:ind w:hanging="0" w:start="43" w:end="43"/>
              <w:rPr/>
            </w:pPr>
            <w:r>
              <w:rPr>
                <w:sz w:val="19"/>
              </w:rPr>
              <w:t>A.10</w:t>
            </w:r>
          </w:p>
        </w:tc>
        <w:tc>
          <w:tcPr>
            <w:tcW w:w="2160" w:type="dxa"/>
            <w:tcBorders/>
            <w:vAlign w:val="center"/>
          </w:tcPr>
          <w:p>
            <w:pPr>
              <w:pStyle w:val="TableContents"/>
              <w:suppressLineNumbers/>
              <w:bidi w:val="0"/>
              <w:spacing w:before="0" w:after="40"/>
              <w:ind w:hanging="0" w:start="43" w:end="43"/>
              <w:rPr/>
            </w:pPr>
            <w:r>
              <w:rPr>
                <w:sz w:val="19"/>
              </w:rPr>
              <w:t>Relacionamentos com terceiros e clientes</w:t>
            </w:r>
          </w:p>
        </w:tc>
        <w:tc>
          <w:tcPr>
            <w:tcW w:w="2880" w:type="dxa"/>
            <w:tcBorders/>
            <w:vAlign w:val="center"/>
          </w:tcPr>
          <w:p>
            <w:pPr>
              <w:pStyle w:val="TableContents"/>
              <w:bidi w:val="0"/>
              <w:spacing w:before="0" w:after="40"/>
              <w:jc w:val="end"/>
              <w:rPr/>
            </w:pPr>
            <w:r>
              <w:rPr>
                <w:sz w:val="19"/>
              </w:rPr>
              <w:t>3</w:t>
            </w:r>
          </w:p>
        </w:tc>
        <w:tc>
          <w:tcPr>
            <w:tcW w:w="2160" w:type="dxa"/>
            <w:tcBorders/>
            <w:vAlign w:val="center"/>
          </w:tcPr>
          <w:p>
            <w:pPr>
              <w:pStyle w:val="TableContents"/>
              <w:suppressLineNumbers/>
              <w:bidi w:val="0"/>
              <w:spacing w:before="0" w:after="40"/>
              <w:ind w:hanging="0" w:start="43" w:end="43"/>
              <w:rPr/>
            </w:pPr>
            <w:r>
              <w:rPr>
                <w:sz w:val="19"/>
              </w:rPr>
              <w:t>Alocação de responsabilidade, governança de fornecedores e obrigações de clientes</w:t>
            </w:r>
          </w:p>
        </w:tc>
      </w:tr>
    </w:tbl>
    <w:p>
      <w:pPr>
        <w:pStyle w:val="Heading2"/>
        <w:tabs>
          <w:tab w:val="clear" w:pos="709"/>
          <w:tab w:val="left" w:pos="0" w:leader="none"/>
        </w:tabs>
        <w:bidi w:val="0"/>
        <w:ind w:hanging="0" w:start="0"/>
        <w:jc w:val="left"/>
        <w:rPr/>
        <w:keepNext/>
      </w:pPr>
      <w:bookmarkStart w:id="57" w:name="como-os-anexos-funcionam"/>
      <w:r>
        <w:rPr/>
        <w:t>20.1 Como os anexos funcionam</w:t>
      </w:r>
      <w:bookmarkEnd w:id="57"/>
    </w:p>
    <w:p>
      <w:pPr>
        <w:pStyle w:val="BodyText"/>
        <w:numPr>
          <w:ilvl w:val="0"/>
          <w:numId w:val="31"/>
        </w:numPr>
        <w:bidi w:val="0"/>
        <w:spacing w:before="0" w:after="0"/>
        <w:rPr/>
      </w:pPr>
      <w:r>
        <w:rPr/>
        <w:t>As Cláusulas 4–10 contêm os requisitos certificáveis do sistema de gestão.</w:t>
      </w:r>
    </w:p>
    <w:p>
      <w:pPr>
        <w:pStyle w:val="BodyText"/>
        <w:numPr>
          <w:ilvl w:val="0"/>
          <w:numId w:val="31"/>
        </w:numPr>
        <w:bidi w:val="0"/>
        <w:spacing w:before="0" w:after="0"/>
        <w:rPr/>
      </w:pPr>
      <w:r>
        <w:rPr/>
        <w:t>O Anexo A fornece objetivos e controles de referência a considerar durante o tratamento de riscos; não é uma lista universal.</w:t>
      </w:r>
    </w:p>
    <w:p>
      <w:pPr>
        <w:pStyle w:val="BodyText"/>
        <w:numPr>
          <w:ilvl w:val="0"/>
          <w:numId w:val="31"/>
        </w:numPr>
        <w:bidi w:val="0"/>
        <w:spacing w:before="0" w:after="0"/>
        <w:rPr/>
      </w:pPr>
      <w:r>
        <w:rPr/>
        <w:t>O Anexo B fornece orientação de implementação para controles do Anexo A sem adicionar requisitos.</w:t>
      </w:r>
    </w:p>
    <w:p>
      <w:pPr>
        <w:pStyle w:val="BodyText"/>
        <w:numPr>
          <w:ilvl w:val="0"/>
          <w:numId w:val="31"/>
        </w:numPr>
        <w:bidi w:val="0"/>
        <w:spacing w:before="0" w:after="0"/>
        <w:rPr/>
      </w:pPr>
      <w:r>
        <w:rPr/>
        <w:t>O Anexo C oferece exemplos de objetivos de IA e fontes de risco para apoiar planejamento e avaliação.</w:t>
      </w:r>
    </w:p>
    <w:p>
      <w:pPr>
        <w:pStyle w:val="BodyText"/>
        <w:numPr>
          <w:ilvl w:val="0"/>
          <w:numId w:val="31"/>
        </w:numPr>
        <w:bidi w:val="0"/>
        <w:spacing w:before="0" w:after="0"/>
        <w:rPr/>
      </w:pPr>
      <w:r>
        <w:rPr/>
        <w:t>O Anexo D explica como o SGIA pode ser utilizado em domínios e setores.</w:t>
      </w:r>
    </w:p>
    <w:p>
      <w:pPr>
        <w:pStyle w:val="BodyText"/>
        <w:numPr>
          <w:ilvl w:val="0"/>
          <w:numId w:val="31"/>
        </w:numPr>
        <w:bidi w:val="0"/>
        <w:spacing w:before="0" w:after="0"/>
        <w:rPr/>
      </w:pPr>
      <w:r>
        <w:rPr/>
        <w:t>A organização pode selecionar controles adicionais; a Declaração de Aplicabilidade explica aplicabilidade e implementação.</w:t>
      </w:r>
    </w:p>
    <w:p>
      <w:pPr>
        <w:pStyle w:val="Heading1"/>
        <w:tabs>
          <w:tab w:val="clear" w:pos="709"/>
          <w:tab w:val="left" w:pos="0" w:leader="none"/>
        </w:tabs>
        <w:bidi w:val="0"/>
        <w:ind w:hanging="0" w:start="0"/>
        <w:jc w:val="left"/>
        <w:rPr/>
        <w:keepNext/>
      </w:pPr>
      <w:bookmarkStart w:id="58" w:name="anexo-a.2-políticas-relacionadas-à-ia"/>
      <w:r>
        <w:rPr/>
        <w:t>21. Anexo A.2: Políticas relacionadas à IA</w:t>
      </w:r>
      <w:bookmarkEnd w:id="58"/>
    </w:p>
    <w:p>
      <w:pPr>
        <w:pStyle w:val="Firstparagraph"/>
        <w:bidi w:val="0"/>
        <w:rPr>
          <w:i/>
          <w:iCs/>
        </w:rPr>
      </w:pPr>
      <w:r>
        <w:rPr>
          <w:i/>
          <w:iCs/>
        </w:rPr>
        <w:t>O Anexo A.2 estabelece uma estrutura coerente de políticas de IA alinhada, aprovada, comunicada e revisada.</w:t>
      </w:r>
    </w:p>
    <w:p>
      <w:pPr>
        <w:pStyle w:val="Heading2"/>
        <w:tabs>
          <w:tab w:val="clear" w:pos="709"/>
          <w:tab w:val="left" w:pos="0" w:leader="none"/>
        </w:tabs>
        <w:bidi w:val="0"/>
        <w:ind w:hanging="0" w:start="0"/>
        <w:jc w:val="left"/>
        <w:rPr/>
        <w:keepNext/>
      </w:pPr>
      <w:bookmarkStart w:id="59" w:name="implementação-do-controle"/>
      <w:r>
        <w:rPr/>
        <w:t>21.1 Implementação do controle</w:t>
      </w:r>
      <w:bookmarkEnd w:id="59"/>
    </w:p>
    <w:p>
      <w:pPr>
        <w:pStyle w:val="BodyText"/>
        <w:numPr>
          <w:ilvl w:val="0"/>
          <w:numId w:val="32"/>
        </w:numPr>
        <w:bidi w:val="0"/>
        <w:spacing w:before="0" w:after="0"/>
        <w:rPr/>
      </w:pPr>
      <w:r>
        <w:rPr/>
        <w:t>Crie política de IA adequada aos papéis, finalidade, contexto, risco, impacto e compromissos de IA responsável da organização.</w:t>
      </w:r>
    </w:p>
    <w:p>
      <w:pPr>
        <w:pStyle w:val="BodyText"/>
        <w:numPr>
          <w:ilvl w:val="0"/>
          <w:numId w:val="32"/>
        </w:numPr>
        <w:bidi w:val="0"/>
        <w:spacing w:before="0" w:after="0"/>
        <w:rPr/>
      </w:pPr>
      <w:r>
        <w:rPr/>
        <w:t>Alinhe-a com políticas de segurança, privacidade, dados, qualidade, produto, RH, compras, jurídico, registros, segurança funcional, acessibilidade, incidentes e comunicação.</w:t>
      </w:r>
    </w:p>
    <w:p>
      <w:pPr>
        <w:pStyle w:val="BodyText"/>
        <w:numPr>
          <w:ilvl w:val="0"/>
          <w:numId w:val="32"/>
        </w:numPr>
        <w:bidi w:val="0"/>
        <w:spacing w:before="0" w:after="0"/>
        <w:rPr/>
      </w:pPr>
      <w:r>
        <w:rPr/>
        <w:t>Resolva contradições, como meta de inovação que incentive ferramentas não aprovadas ou política de retenção que conflite com rastreabilidade.</w:t>
      </w:r>
    </w:p>
    <w:p>
      <w:pPr>
        <w:pStyle w:val="BodyText"/>
        <w:numPr>
          <w:ilvl w:val="0"/>
          <w:numId w:val="32"/>
        </w:numPr>
        <w:bidi w:val="0"/>
        <w:spacing w:before="0" w:after="0"/>
        <w:rPr/>
      </w:pPr>
      <w:r>
        <w:rPr/>
        <w:t>Aprove no nível gerencial apropriado; comunique a pessoas e partes relevantes; conecte a objetivos, procedimentos, controles, treinamento e aplicação.</w:t>
      </w:r>
    </w:p>
    <w:p>
      <w:pPr>
        <w:pStyle w:val="BodyText"/>
        <w:numPr>
          <w:ilvl w:val="0"/>
          <w:numId w:val="32"/>
        </w:numPr>
        <w:bidi w:val="0"/>
        <w:spacing w:before="0" w:after="0"/>
        <w:rPr/>
      </w:pPr>
      <w:r>
        <w:rPr/>
        <w:t>Revise conforme cronograma e após mudanças em lei, tecnologia, negócio, escopo, incidente, auditoria, reclamação, fornecedor ou sistema material.</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Evidência</w:t>
            </w:r>
          </w:p>
        </w:tc>
        <w:tc>
          <w:tcPr>
            <w:tcW w:w="4680" w:type="dxa"/>
            <w:tcBorders/>
            <w:vAlign w:val="center"/>
            <w:shd w:fill="1F4E78"/>
          </w:tcPr>
          <w:p>
            <w:pPr>
              <w:pStyle w:val="TableHeading"/>
              <w:bidi w:val="0"/>
              <w:spacing w:before="0" w:after="40"/>
              <w:rPr>
                <w:b/>
                <w:bCs/>
              </w:rPr>
            </w:pPr>
            <w:r>
              <w:rPr>
                <w:b/>
                <w:bCs/>
                <w:sz w:val="19"/>
                <w:color w:val="FFFFFF"/>
              </w:rPr>
              <w:t>Teste</w:t>
            </w:r>
          </w:p>
        </w:tc>
      </w:tr>
      <w:tr>
        <w:trPr>
          <w:cantSplit/>
        </w:trPr>
        <w:tc>
          <w:tcPr>
            <w:tcW w:w="4680" w:type="dxa"/>
            <w:tcBorders/>
            <w:vAlign w:val="center"/>
          </w:tcPr>
          <w:p>
            <w:pPr>
              <w:pStyle w:val="TableContents"/>
              <w:suppressLineNumbers/>
              <w:bidi w:val="0"/>
              <w:spacing w:before="0" w:after="40"/>
              <w:ind w:hanging="0" w:start="43" w:end="43"/>
              <w:rPr/>
            </w:pPr>
            <w:r>
              <w:rPr>
                <w:sz w:val="19"/>
              </w:rPr>
              <w:t>Política de IA aprovada</w:t>
            </w:r>
          </w:p>
        </w:tc>
        <w:tc>
          <w:tcPr>
            <w:tcW w:w="4680" w:type="dxa"/>
            <w:tcBorders/>
            <w:vAlign w:val="center"/>
          </w:tcPr>
          <w:p>
            <w:pPr>
              <w:pStyle w:val="TableContents"/>
              <w:suppressLineNumbers/>
              <w:bidi w:val="0"/>
              <w:spacing w:before="0" w:after="40"/>
              <w:ind w:hanging="0" w:start="43" w:end="43"/>
              <w:rPr/>
            </w:pPr>
            <w:r>
              <w:rPr>
                <w:sz w:val="19"/>
              </w:rPr>
              <w:t>Verificar escopo, compromissos, autoridade, data de vigência, disponibilidade e proprietário</w:t>
            </w:r>
          </w:p>
        </w:tc>
      </w:tr>
      <w:tr>
        <w:trPr>
          <w:cantSplit/>
        </w:trPr>
        <w:tc>
          <w:tcPr>
            <w:tcW w:w="4680" w:type="dxa"/>
            <w:tcBorders/>
            <w:vAlign w:val="center"/>
          </w:tcPr>
          <w:p>
            <w:pPr>
              <w:pStyle w:val="TableContents"/>
              <w:suppressLineNumbers/>
              <w:bidi w:val="0"/>
              <w:spacing w:before="0" w:after="40"/>
              <w:ind w:hanging="0" w:start="43" w:end="43"/>
              <w:rPr/>
            </w:pPr>
            <w:r>
              <w:rPr>
                <w:sz w:val="19"/>
              </w:rPr>
              <w:t>Mapa de políticas</w:t>
            </w:r>
          </w:p>
        </w:tc>
        <w:tc>
          <w:tcPr>
            <w:tcW w:w="4680" w:type="dxa"/>
            <w:tcBorders/>
            <w:vAlign w:val="center"/>
          </w:tcPr>
          <w:p>
            <w:pPr>
              <w:pStyle w:val="TableContents"/>
              <w:suppressLineNumbers/>
              <w:bidi w:val="0"/>
              <w:spacing w:before="0" w:after="40"/>
              <w:ind w:hanging="0" w:start="43" w:end="43"/>
              <w:rPr/>
            </w:pPr>
            <w:r>
              <w:rPr>
                <w:sz w:val="19"/>
              </w:rPr>
              <w:t>Rastrear requisitos de IA para políticas relacionadas e conflitos resolvidos</w:t>
            </w:r>
          </w:p>
        </w:tc>
      </w:tr>
      <w:tr>
        <w:trPr>
          <w:cantSplit/>
        </w:trPr>
        <w:tc>
          <w:tcPr>
            <w:tcW w:w="4680" w:type="dxa"/>
            <w:tcBorders/>
            <w:vAlign w:val="center"/>
          </w:tcPr>
          <w:p>
            <w:pPr>
              <w:pStyle w:val="TableContents"/>
              <w:suppressLineNumbers/>
              <w:bidi w:val="0"/>
              <w:spacing w:before="0" w:after="40"/>
              <w:ind w:hanging="0" w:start="43" w:end="43"/>
              <w:rPr/>
            </w:pPr>
            <w:r>
              <w:rPr>
                <w:sz w:val="19"/>
              </w:rPr>
              <w:t>Comunicação/treinamento</w:t>
            </w:r>
          </w:p>
        </w:tc>
        <w:tc>
          <w:tcPr>
            <w:tcW w:w="4680" w:type="dxa"/>
            <w:tcBorders/>
            <w:vAlign w:val="center"/>
          </w:tcPr>
          <w:p>
            <w:pPr>
              <w:pStyle w:val="TableContents"/>
              <w:suppressLineNumbers/>
              <w:bidi w:val="0"/>
              <w:spacing w:before="0" w:after="40"/>
              <w:ind w:hanging="0" w:start="43" w:end="43"/>
              <w:rPr/>
            </w:pPr>
            <w:r>
              <w:rPr>
                <w:sz w:val="19"/>
              </w:rPr>
              <w:t>Amostrar papéis; verificar compreensão e fluxo de trabalho prático</w:t>
            </w:r>
          </w:p>
        </w:tc>
      </w:tr>
      <w:tr>
        <w:trPr>
          <w:cantSplit/>
        </w:trPr>
        <w:tc>
          <w:tcPr>
            <w:tcW w:w="4680" w:type="dxa"/>
            <w:tcBorders/>
            <w:vAlign w:val="center"/>
          </w:tcPr>
          <w:p>
            <w:pPr>
              <w:pStyle w:val="TableContents"/>
              <w:suppressLineNumbers/>
              <w:bidi w:val="0"/>
              <w:spacing w:before="0" w:after="40"/>
              <w:ind w:hanging="0" w:start="43" w:end="43"/>
              <w:rPr/>
            </w:pPr>
            <w:r>
              <w:rPr>
                <w:sz w:val="19"/>
              </w:rPr>
              <w:t>Registro de revisão</w:t>
            </w:r>
          </w:p>
        </w:tc>
        <w:tc>
          <w:tcPr>
            <w:tcW w:w="4680" w:type="dxa"/>
            <w:tcBorders/>
            <w:vAlign w:val="center"/>
          </w:tcPr>
          <w:p>
            <w:pPr>
              <w:pStyle w:val="TableContents"/>
              <w:suppressLineNumbers/>
              <w:bidi w:val="0"/>
              <w:spacing w:before="0" w:after="40"/>
              <w:ind w:hanging="0" w:start="43" w:end="43"/>
              <w:rPr/>
            </w:pPr>
            <w:r>
              <w:rPr>
                <w:sz w:val="19"/>
              </w:rPr>
              <w:t>Verificar entradas, mudanças, decisão, aprovação e acompanhamento</w:t>
            </w:r>
          </w:p>
        </w:tc>
      </w:tr>
    </w:tbl>
    <w:p>
      <w:pPr>
        <w:pStyle w:val="Heading1"/>
        <w:tabs>
          <w:tab w:val="clear" w:pos="709"/>
          <w:tab w:val="left" w:pos="0" w:leader="none"/>
        </w:tabs>
        <w:bidi w:val="0"/>
        <w:ind w:hanging="0" w:start="0"/>
        <w:jc w:val="left"/>
        <w:rPr/>
        <w:keepNext/>
      </w:pPr>
      <w:bookmarkStart w:id="60" w:name="anexo-a.3-organização-interna"/>
      <w:r>
        <w:rPr/>
        <w:t>22. Anexo A.3: Organização interna</w:t>
      </w:r>
      <w:bookmarkEnd w:id="60"/>
    </w:p>
    <w:p>
      <w:pPr>
        <w:pStyle w:val="Firstparagraph"/>
        <w:bidi w:val="0"/>
        <w:rPr>
          <w:i/>
          <w:iCs/>
        </w:rPr>
      </w:pPr>
      <w:r>
        <w:rPr>
          <w:i/>
          <w:iCs/>
        </w:rPr>
        <w:t>O Anexo A.3 atribui responsabilidades de IA e cria uma forma protegida de relatar preocupações.</w:t>
      </w:r>
    </w:p>
    <w:p>
      <w:pPr>
        <w:pStyle w:val="Heading2"/>
        <w:tabs>
          <w:tab w:val="clear" w:pos="709"/>
          <w:tab w:val="left" w:pos="0" w:leader="none"/>
        </w:tabs>
        <w:bidi w:val="0"/>
        <w:ind w:hanging="0" w:start="0"/>
        <w:jc w:val="left"/>
        <w:rPr/>
        <w:keepNext/>
      </w:pPr>
      <w:bookmarkStart w:id="61" w:name="papéis-e-responsabilidades"/>
      <w:r>
        <w:rPr/>
        <w:t>22.1 Papéis e responsabilidades</w:t>
      </w:r>
      <w:bookmarkEnd w:id="61"/>
    </w:p>
    <w:p>
      <w:pPr>
        <w:pStyle w:val="BodyText"/>
        <w:numPr>
          <w:ilvl w:val="0"/>
          <w:numId w:val="33"/>
        </w:numPr>
        <w:bidi w:val="0"/>
        <w:spacing w:before="0" w:after="0"/>
        <w:rPr/>
      </w:pPr>
      <w:r>
        <w:rPr/>
        <w:t>Defina responsabilização pelo ciclo de vida e pelo sistema de gestão para cada sistema de IA e serviço compartilhado.</w:t>
      </w:r>
    </w:p>
    <w:p>
      <w:pPr>
        <w:pStyle w:val="BodyText"/>
        <w:numPr>
          <w:ilvl w:val="0"/>
          <w:numId w:val="33"/>
        </w:numPr>
        <w:bidi w:val="0"/>
        <w:spacing w:before="0" w:after="0"/>
        <w:rPr/>
      </w:pPr>
      <w:r>
        <w:rPr/>
        <w:t>Atribua papéis de resultado de negócio, IA/modelo, dados, produto, segurança, privacidade, jurídico, impacto, supervisão humana, fornecedor, incidente, auditoria e risco residual.</w:t>
      </w:r>
    </w:p>
    <w:p>
      <w:pPr>
        <w:pStyle w:val="BodyText"/>
        <w:numPr>
          <w:ilvl w:val="0"/>
          <w:numId w:val="33"/>
        </w:numPr>
        <w:bidi w:val="0"/>
        <w:spacing w:before="0" w:after="0"/>
        <w:rPr/>
      </w:pPr>
      <w:r>
        <w:rPr/>
        <w:t>Defina autoridade de aprovação e escalonamento, substitutos, conflitos, segregação e decisões de emergência.</w:t>
      </w:r>
    </w:p>
    <w:p>
      <w:pPr>
        <w:pStyle w:val="BodyText"/>
        <w:numPr>
          <w:ilvl w:val="0"/>
          <w:numId w:val="33"/>
        </w:numPr>
        <w:bidi w:val="0"/>
        <w:spacing w:before="0" w:after="0"/>
        <w:rPr/>
      </w:pPr>
      <w:r>
        <w:rPr/>
        <w:t>Atualize papéis após mudanças organizacionais, de emprego, fornecedor, sistema, escopo ou risco; remova acesso prontamente.</w:t>
      </w:r>
    </w:p>
    <w:p>
      <w:pPr>
        <w:pStyle w:val="Heading2"/>
        <w:tabs>
          <w:tab w:val="clear" w:pos="709"/>
          <w:tab w:val="left" w:pos="0" w:leader="none"/>
        </w:tabs>
        <w:bidi w:val="0"/>
        <w:ind w:hanging="0" w:start="0"/>
        <w:jc w:val="left"/>
        <w:rPr/>
        <w:keepNext/>
      </w:pPr>
      <w:bookmarkStart w:id="62" w:name="relato-de-preocupações"/>
      <w:r>
        <w:rPr/>
        <w:t>22.2 Relato de preocupações</w:t>
      </w:r>
      <w:bookmarkEnd w:id="62"/>
    </w:p>
    <w:p>
      <w:pPr>
        <w:pStyle w:val="BodyText"/>
        <w:numPr>
          <w:ilvl w:val="0"/>
          <w:numId w:val="34"/>
        </w:numPr>
        <w:bidi w:val="0"/>
        <w:spacing w:before="0" w:after="0"/>
        <w:rPr/>
      </w:pPr>
      <w:r>
        <w:rPr/>
        <w:t>Forneça canais internos e externos acessíveis, confidencialidade/anonimato quando apropriado, não retaliação, triagem, investigação, proteção, escalonamento, retorno e registros.</w:t>
      </w:r>
    </w:p>
    <w:p>
      <w:pPr>
        <w:pStyle w:val="BodyText"/>
        <w:numPr>
          <w:ilvl w:val="0"/>
          <w:numId w:val="34"/>
        </w:numPr>
        <w:bidi w:val="0"/>
        <w:spacing w:before="0" w:after="0"/>
        <w:rPr/>
      </w:pPr>
      <w:r>
        <w:rPr/>
        <w:t>Aceite preocupações sobre uso inseguro, viés, direitos, privacidade, segurança, dados, saída enganosa, IA oculta, comportamento de fornecedor, pressão para contornar controles ou retaliação.</w:t>
      </w:r>
    </w:p>
    <w:p>
      <w:pPr>
        <w:pStyle w:val="BodyText"/>
        <w:numPr>
          <w:ilvl w:val="0"/>
          <w:numId w:val="34"/>
        </w:numPr>
        <w:bidi w:val="0"/>
        <w:spacing w:before="0" w:after="0"/>
        <w:rPr/>
      </w:pPr>
      <w:r>
        <w:rPr/>
        <w:t>Meça conscientização, acessibilidade, resposta, recorrência, casos vencidos e ação corretiva sem expor denunciantes.</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Canais de preocupação são controles:</w:t>
      </w:r>
      <w:r>
        <w:rPr/>
        <w:t xml:space="preserve"> Um canal é ineficaz se as pessoas não sabem que existe, temem retaliação, não conseguem relatar dano externo ou nunca recebem evidência de que as preocupações são investigadas e corrigidas.</w:t>
      </w:r>
    </w:p>
    <w:p>
      <w:pPr>
        <w:pStyle w:val="Heading1"/>
        <w:tabs>
          <w:tab w:val="clear" w:pos="709"/>
          <w:tab w:val="left" w:pos="0" w:leader="none"/>
        </w:tabs>
        <w:bidi w:val="0"/>
        <w:ind w:hanging="0" w:start="0"/>
        <w:jc w:val="left"/>
        <w:rPr/>
        <w:keepNext/>
      </w:pPr>
      <w:bookmarkStart w:id="63" w:name="anexo-a.4-recursos-para-sistemas-de-ia"/>
      <w:r>
        <w:rPr/>
        <w:t>23. Anexo A.4: Recursos para sistemas de IA</w:t>
      </w:r>
      <w:bookmarkEnd w:id="63"/>
    </w:p>
    <w:p>
      <w:pPr>
        <w:pStyle w:val="Firstparagraph"/>
        <w:bidi w:val="0"/>
        <w:rPr>
          <w:i/>
          <w:iCs/>
        </w:rPr>
      </w:pPr>
      <w:r>
        <w:rPr>
          <w:i/>
          <w:iCs/>
        </w:rPr>
        <w:t>O Anexo A.4 exige visibilidade dos dados, ferramentas, sistema/computação e pessoas necessários em todo o ciclo de vida da IA.</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Registro de recurso</w:t>
            </w:r>
          </w:p>
        </w:tc>
        <w:tc>
          <w:tcPr>
            <w:tcW w:w="4680" w:type="dxa"/>
            <w:tcBorders/>
            <w:vAlign w:val="center"/>
            <w:shd w:fill="1F4E78"/>
          </w:tcPr>
          <w:p>
            <w:pPr>
              <w:pStyle w:val="TableHeading"/>
              <w:bidi w:val="0"/>
              <w:spacing w:before="0" w:after="40"/>
              <w:rPr>
                <w:b/>
                <w:bCs/>
              </w:rPr>
            </w:pPr>
            <w:r>
              <w:rPr>
                <w:b/>
                <w:bCs/>
                <w:sz w:val="19"/>
                <w:color w:val="FFFFFF"/>
              </w:rPr>
              <w:t>Detalhes</w:t>
            </w:r>
          </w:p>
        </w:tc>
      </w:tr>
      <w:tr>
        <w:trPr>
          <w:cantSplit/>
        </w:trPr>
        <w:tc>
          <w:tcPr>
            <w:tcW w:w="4680" w:type="dxa"/>
            <w:tcBorders/>
            <w:vAlign w:val="center"/>
          </w:tcPr>
          <w:p>
            <w:pPr>
              <w:pStyle w:val="TableContents"/>
              <w:suppressLineNumbers/>
              <w:bidi w:val="0"/>
              <w:spacing w:before="0" w:after="40"/>
              <w:ind w:hanging="0" w:start="43" w:end="43"/>
              <w:rPr/>
            </w:pPr>
            <w:r>
              <w:rPr>
                <w:sz w:val="19"/>
              </w:rPr>
              <w:t>Dados</w:t>
            </w:r>
          </w:p>
        </w:tc>
        <w:tc>
          <w:tcPr>
            <w:tcW w:w="4680" w:type="dxa"/>
            <w:tcBorders/>
            <w:vAlign w:val="center"/>
          </w:tcPr>
          <w:p>
            <w:pPr>
              <w:pStyle w:val="TableContents"/>
              <w:suppressLineNumbers/>
              <w:bidi w:val="0"/>
              <w:spacing w:before="0" w:after="40"/>
              <w:ind w:hanging="0" w:start="43" w:end="43"/>
              <w:rPr/>
            </w:pPr>
            <w:r>
              <w:rPr>
                <w:sz w:val="19"/>
              </w:rPr>
              <w:t>Fonte, proprietário, finalidade, direitos, sensibilidade, pessoas, qualidade, viés, versão, linhagem, retenção e localização</w:t>
            </w:r>
          </w:p>
        </w:tc>
      </w:tr>
      <w:tr>
        <w:trPr>
          <w:cantSplit/>
        </w:trPr>
        <w:tc>
          <w:tcPr>
            <w:tcW w:w="4680" w:type="dxa"/>
            <w:tcBorders/>
            <w:vAlign w:val="center"/>
          </w:tcPr>
          <w:p>
            <w:pPr>
              <w:pStyle w:val="TableContents"/>
              <w:suppressLineNumbers/>
              <w:bidi w:val="0"/>
              <w:spacing w:before="0" w:after="40"/>
              <w:ind w:hanging="0" w:start="43" w:end="43"/>
              <w:rPr/>
            </w:pPr>
            <w:r>
              <w:rPr>
                <w:sz w:val="19"/>
              </w:rPr>
              <w:t>Ferramentas</w:t>
            </w:r>
          </w:p>
        </w:tc>
        <w:tc>
          <w:tcPr>
            <w:tcW w:w="4680" w:type="dxa"/>
            <w:tcBorders/>
            <w:vAlign w:val="center"/>
          </w:tcPr>
          <w:p>
            <w:pPr>
              <w:pStyle w:val="TableContents"/>
              <w:suppressLineNumbers/>
              <w:bidi w:val="0"/>
              <w:spacing w:before="0" w:after="40"/>
              <w:ind w:hanging="0" w:start="43" w:end="43"/>
              <w:rPr/>
            </w:pPr>
            <w:r>
              <w:rPr>
                <w:sz w:val="19"/>
              </w:rPr>
              <w:t>Algoritmos, frameworks, pacotes, modelos, prompts, avaliação, anotação, orquestração, versões e suporte</w:t>
            </w:r>
          </w:p>
        </w:tc>
      </w:tr>
      <w:tr>
        <w:trPr>
          <w:cantSplit/>
        </w:trPr>
        <w:tc>
          <w:tcPr>
            <w:tcW w:w="4680" w:type="dxa"/>
            <w:tcBorders/>
            <w:vAlign w:val="center"/>
          </w:tcPr>
          <w:p>
            <w:pPr>
              <w:pStyle w:val="TableContents"/>
              <w:suppressLineNumbers/>
              <w:bidi w:val="0"/>
              <w:spacing w:before="0" w:after="40"/>
              <w:ind w:hanging="0" w:start="43" w:end="43"/>
              <w:rPr/>
            </w:pPr>
            <w:r>
              <w:rPr>
                <w:sz w:val="19"/>
              </w:rPr>
              <w:t>Sistema/computação</w:t>
            </w:r>
          </w:p>
        </w:tc>
        <w:tc>
          <w:tcPr>
            <w:tcW w:w="4680" w:type="dxa"/>
            <w:tcBorders/>
            <w:vAlign w:val="center"/>
          </w:tcPr>
          <w:p>
            <w:pPr>
              <w:pStyle w:val="TableContents"/>
              <w:suppressLineNumbers/>
              <w:bidi w:val="0"/>
              <w:spacing w:before="0" w:after="40"/>
              <w:ind w:hanging="0" w:start="43" w:end="43"/>
              <w:rPr/>
            </w:pPr>
            <w:r>
              <w:rPr>
                <w:sz w:val="19"/>
              </w:rPr>
              <w:t>Nuvem/local/borda, contas, ambientes, armazenamento, rede, GPUs, capacidade, resiliência e energia/meio ambiente</w:t>
            </w:r>
          </w:p>
        </w:tc>
      </w:tr>
      <w:tr>
        <w:trPr>
          <w:cantSplit/>
        </w:trPr>
        <w:tc>
          <w:tcPr>
            <w:tcW w:w="4680" w:type="dxa"/>
            <w:tcBorders/>
            <w:vAlign w:val="center"/>
          </w:tcPr>
          <w:p>
            <w:pPr>
              <w:pStyle w:val="TableContents"/>
              <w:suppressLineNumbers/>
              <w:bidi w:val="0"/>
              <w:spacing w:before="0" w:after="40"/>
              <w:ind w:hanging="0" w:start="43" w:end="43"/>
              <w:rPr/>
            </w:pPr>
            <w:r>
              <w:rPr>
                <w:sz w:val="19"/>
              </w:rPr>
              <w:t>Humano</w:t>
            </w:r>
          </w:p>
        </w:tc>
        <w:tc>
          <w:tcPr>
            <w:tcW w:w="4680" w:type="dxa"/>
            <w:tcBorders/>
            <w:vAlign w:val="center"/>
          </w:tcPr>
          <w:p>
            <w:pPr>
              <w:pStyle w:val="TableContents"/>
              <w:suppressLineNumbers/>
              <w:bidi w:val="0"/>
              <w:spacing w:before="0" w:after="40"/>
              <w:ind w:hanging="0" w:start="43" w:end="43"/>
              <w:rPr/>
            </w:pPr>
            <w:r>
              <w:rPr>
                <w:sz w:val="19"/>
              </w:rPr>
              <w:t>Papel, organização/fornecedor, competência, independência, acesso, carga e autoridade de decisão</w:t>
            </w:r>
          </w:p>
        </w:tc>
      </w:tr>
      <w:tr>
        <w:trPr>
          <w:cantSplit/>
        </w:trPr>
        <w:tc>
          <w:tcPr>
            <w:tcW w:w="4680" w:type="dxa"/>
            <w:tcBorders/>
            <w:vAlign w:val="center"/>
          </w:tcPr>
          <w:p>
            <w:pPr>
              <w:pStyle w:val="TableContents"/>
              <w:suppressLineNumbers/>
              <w:bidi w:val="0"/>
              <w:spacing w:before="0" w:after="40"/>
              <w:ind w:hanging="0" w:start="43" w:end="43"/>
              <w:rPr/>
            </w:pPr>
            <w:r>
              <w:rPr>
                <w:sz w:val="19"/>
              </w:rPr>
              <w:t>Dependências</w:t>
            </w:r>
          </w:p>
        </w:tc>
        <w:tc>
          <w:tcPr>
            <w:tcW w:w="4680" w:type="dxa"/>
            <w:tcBorders/>
            <w:vAlign w:val="center"/>
          </w:tcPr>
          <w:p>
            <w:pPr>
              <w:pStyle w:val="TableContents"/>
              <w:suppressLineNumbers/>
              <w:bidi w:val="0"/>
              <w:spacing w:before="0" w:after="40"/>
              <w:ind w:hanging="0" w:start="43" w:end="43"/>
              <w:rPr/>
            </w:pPr>
            <w:r>
              <w:rPr>
                <w:sz w:val="19"/>
              </w:rPr>
              <w:t>Provedor, suboperador, API, identidade, monitoramento, filtro de conteúdo, banco vetorial e processo de negócio</w:t>
            </w:r>
          </w:p>
        </w:tc>
      </w:tr>
    </w:tbl>
    <w:p>
      <w:pPr>
        <w:pStyle w:val="Heading2"/>
        <w:tabs>
          <w:tab w:val="clear" w:pos="709"/>
          <w:tab w:val="left" w:pos="0" w:leader="none"/>
        </w:tabs>
        <w:bidi w:val="0"/>
        <w:ind w:hanging="0" w:start="0"/>
        <w:jc w:val="left"/>
        <w:rPr/>
        <w:keepNext/>
      </w:pPr>
      <w:bookmarkStart w:id="64" w:name="fluxo-de-documentação-de-recursos"/>
      <w:r>
        <w:rPr/>
        <w:t>23.1 Fluxo de documentação de recursos</w:t>
      </w:r>
      <w:bookmarkEnd w:id="64"/>
    </w:p>
    <w:p>
      <w:pPr>
        <w:pStyle w:val="BodyText"/>
        <w:numPr>
          <w:ilvl w:val="0"/>
          <w:numId w:val="35"/>
        </w:numPr>
        <w:bidi w:val="0"/>
        <w:spacing w:before="0" w:after="0"/>
        <w:rPr/>
      </w:pPr>
      <w:r>
        <w:rPr/>
        <w:t>Conecte recursos a sistemas de IA exatos, estágios do ciclo de vida, proprietários, avaliações de risco/impacto, registros de fornecedores, versões e histórico de mudanças.</w:t>
      </w:r>
    </w:p>
    <w:p>
      <w:pPr>
        <w:pStyle w:val="BodyText"/>
        <w:numPr>
          <w:ilvl w:val="0"/>
          <w:numId w:val="35"/>
        </w:numPr>
        <w:bidi w:val="0"/>
        <w:spacing w:before="0" w:after="0"/>
        <w:rPr/>
      </w:pPr>
      <w:r>
        <w:rPr/>
        <w:t>Reconcilie inventários de recursos com código, registros de modelos, catálogos de dados, faturamento de nuvem/API, identidade, rede, compras e entrevistas.</w:t>
      </w:r>
    </w:p>
    <w:p>
      <w:pPr>
        <w:pStyle w:val="BodyText"/>
        <w:numPr>
          <w:ilvl w:val="0"/>
          <w:numId w:val="35"/>
        </w:numPr>
        <w:bidi w:val="0"/>
        <w:spacing w:before="0" w:after="0"/>
        <w:rPr/>
      </w:pPr>
      <w:r>
        <w:rPr/>
        <w:t>Identifique recursos não aprovados/sombra, componentes sem suporte, falta de competência, limites de capacidade, dependências comuns e efeitos ambientais.</w:t>
      </w:r>
    </w:p>
    <w:p>
      <w:pPr>
        <w:pStyle w:val="BodyText"/>
        <w:numPr>
          <w:ilvl w:val="0"/>
          <w:numId w:val="35"/>
        </w:numPr>
        <w:bidi w:val="0"/>
        <w:spacing w:before="0" w:after="0"/>
        <w:rPr/>
      </w:pPr>
      <w:r>
        <w:rPr/>
        <w:t>Use o registro para reprodutibilidade, resposta a incidentes, avaliação de mudanças, recuperação, saída de fornecedores e retirada.</w:t>
      </w:r>
    </w:p>
    <w:p>
      <w:pPr>
        <w:pStyle w:val="Heading1"/>
        <w:tabs>
          <w:tab w:val="clear" w:pos="709"/>
          <w:tab w:val="left" w:pos="0" w:leader="none"/>
        </w:tabs>
        <w:bidi w:val="0"/>
        <w:ind w:hanging="0" w:start="0"/>
        <w:jc w:val="left"/>
        <w:rPr/>
        <w:keepNext/>
      </w:pPr>
      <w:bookmarkStart w:id="65" w:name="anexo-a.5-e-isoiec-42005-avaliação-de-im"/>
      <w:r>
        <w:rPr/>
        <w:t>24. Anexo A.5 e ISO/IEC 42005: Avaliação de impacto de sistemas de IA</w:t>
      </w:r>
      <w:bookmarkEnd w:id="65"/>
    </w:p>
    <w:p>
      <w:pPr>
        <w:pStyle w:val="Firstparagraph"/>
        <w:bidi w:val="0"/>
        <w:rPr>
          <w:i/>
          <w:iCs/>
        </w:rPr>
      </w:pPr>
      <w:r>
        <w:rPr>
          <w:i/>
          <w:iCs/>
        </w:rPr>
        <w:t>O Anexo A.5 operacionaliza a avaliação de impacto; a ISO/IEC 42005:2025 fornece orientação atual complementar.</w:t>
      </w:r>
    </w:p>
    <w:p>
      <w:pPr>
        <w:pStyle w:val="Heading2"/>
        <w:tabs>
          <w:tab w:val="clear" w:pos="709"/>
          <w:tab w:val="left" w:pos="0" w:leader="none"/>
        </w:tabs>
        <w:bidi w:val="0"/>
        <w:ind w:hanging="0" w:start="0"/>
        <w:jc w:val="left"/>
        <w:rPr/>
        <w:keepNext/>
      </w:pPr>
      <w:bookmarkStart w:id="66" w:name="quatro-resultados-de-controle"/>
      <w:r>
        <w:rPr/>
        <w:t>24.1 Quatro resultados de controle</w:t>
      </w:r>
      <w:bookmarkEnd w:id="66"/>
    </w:p>
    <w:p>
      <w:pPr>
        <w:pStyle w:val="BodyText"/>
        <w:numPr>
          <w:ilvl w:val="0"/>
          <w:numId w:val="36"/>
        </w:numPr>
        <w:bidi w:val="0"/>
        <w:spacing w:before="0" w:after="0"/>
        <w:rPr/>
      </w:pPr>
      <w:r>
        <w:rPr/>
        <w:t>Processo definido e repetível de avaliação de impacto de sistemas de IA com gatilhos, papéis, métodos, integração ao ciclo de vida, aprovação e revisão.</w:t>
      </w:r>
    </w:p>
    <w:p>
      <w:pPr>
        <w:pStyle w:val="BodyText"/>
        <w:numPr>
          <w:ilvl w:val="0"/>
          <w:numId w:val="36"/>
        </w:numPr>
        <w:bidi w:val="0"/>
        <w:spacing w:before="0" w:after="0"/>
        <w:rPr/>
      </w:pPr>
      <w:r>
        <w:rPr/>
        <w:t>Documentação controlada de avaliações, premissas, evidências, partes afetadas, impactos, mitigações, decisões e mudanças.</w:t>
      </w:r>
    </w:p>
    <w:p>
      <w:pPr>
        <w:pStyle w:val="BodyText"/>
        <w:numPr>
          <w:ilvl w:val="0"/>
          <w:numId w:val="36"/>
        </w:numPr>
        <w:bidi w:val="0"/>
        <w:spacing w:before="0" w:after="0"/>
        <w:rPr/>
      </w:pPr>
      <w:r>
        <w:rPr/>
        <w:t>Avaliação específica dos impactos sobre indivíduos e grupos, incluindo equidade, direitos, privacidade, segurança funcional, saúde, acessibilidade, efeitos financeiros/trabalhistas, pessoas vulneráveis, supervisão humana e reparação conforme relevante.</w:t>
      </w:r>
    </w:p>
    <w:p>
      <w:pPr>
        <w:pStyle w:val="BodyText"/>
        <w:numPr>
          <w:ilvl w:val="0"/>
          <w:numId w:val="36"/>
        </w:numPr>
        <w:bidi w:val="0"/>
        <w:spacing w:before="0" w:after="0"/>
        <w:rPr/>
      </w:pPr>
      <w:r>
        <w:rPr/>
        <w:t>Avaliação de efeitos sociais mais amplos, como segurança pública, meio ambiente, economia, cultura, processos democráticos, desinformação, trabalho, concentração de mercado e uso indevido deliberado, quando relevante.</w:t>
      </w:r>
    </w:p>
    <w:p>
      <w:pPr>
        <w:pStyle w:val="Heading2"/>
        <w:tabs>
          <w:tab w:val="clear" w:pos="709"/>
          <w:tab w:val="left" w:pos="0" w:leader="none"/>
        </w:tabs>
        <w:bidi w:val="0"/>
        <w:ind w:hanging="0" w:start="0"/>
        <w:jc w:val="left"/>
        <w:rPr/>
        <w:keepNext/>
      </w:pPr>
      <w:bookmarkStart w:id="67" w:name="verificações-de-qualidade-da-avaliação"/>
      <w:r>
        <w:rPr/>
        <w:t>24.2 Verificações de qualidade da avaliação</w:t>
      </w:r>
      <w:bookmarkEnd w:id="67"/>
    </w:p>
    <w:p>
      <w:pPr>
        <w:pStyle w:val="BodyText"/>
        <w:numPr>
          <w:ilvl w:val="0"/>
          <w:numId w:val="37"/>
        </w:numPr>
        <w:bidi w:val="0"/>
        <w:spacing w:before="0" w:after="0"/>
        <w:rPr/>
      </w:pPr>
      <w:r>
        <w:rPr/>
        <w:t>Pessoas/grupos afetados são identificados além de usuários e clientes diretos.</w:t>
      </w:r>
    </w:p>
    <w:p>
      <w:pPr>
        <w:pStyle w:val="BodyText"/>
        <w:numPr>
          <w:ilvl w:val="0"/>
          <w:numId w:val="37"/>
        </w:numPr>
        <w:bidi w:val="0"/>
        <w:spacing w:before="0" w:after="0"/>
        <w:rPr/>
      </w:pPr>
      <w:r>
        <w:rPr/>
        <w:t>Benefícios e danos são ambos avaliados, incluindo distribuição e alternativas.</w:t>
      </w:r>
    </w:p>
    <w:p>
      <w:pPr>
        <w:pStyle w:val="BodyText"/>
        <w:numPr>
          <w:ilvl w:val="0"/>
          <w:numId w:val="37"/>
        </w:numPr>
        <w:bidi w:val="0"/>
        <w:spacing w:before="0" w:after="0"/>
        <w:rPr/>
      </w:pPr>
      <w:r>
        <w:rPr/>
        <w:t>O método considera escala, duração, reversibilidade, efeitos cumulativos e indiretos, incerteza e uso indevido previsível.</w:t>
      </w:r>
    </w:p>
    <w:p>
      <w:pPr>
        <w:pStyle w:val="BodyText"/>
        <w:numPr>
          <w:ilvl w:val="0"/>
          <w:numId w:val="37"/>
        </w:numPr>
        <w:bidi w:val="0"/>
        <w:spacing w:before="0" w:after="0"/>
        <w:rPr/>
      </w:pPr>
      <w:r>
        <w:rPr/>
        <w:t>Participação de partes interessadas é significativa, acessível, documentada e protegida.</w:t>
      </w:r>
    </w:p>
    <w:p>
      <w:pPr>
        <w:pStyle w:val="BodyText"/>
        <w:numPr>
          <w:ilvl w:val="0"/>
          <w:numId w:val="37"/>
        </w:numPr>
        <w:bidi w:val="0"/>
        <w:spacing w:before="0" w:after="0"/>
        <w:rPr/>
      </w:pPr>
      <w:r>
        <w:rPr/>
        <w:t>Mitigações tornam-se requisitos com proprietário, testes, avisos, supervisão, monitoramento, reparação e critérios de interrupção.</w:t>
      </w:r>
    </w:p>
    <w:p>
      <w:pPr>
        <w:pStyle w:val="BodyText"/>
        <w:numPr>
          <w:ilvl w:val="0"/>
          <w:numId w:val="37"/>
        </w:numPr>
        <w:bidi w:val="0"/>
        <w:spacing w:before="0" w:after="0"/>
        <w:rPr/>
      </w:pPr>
      <w:r>
        <w:rPr/>
        <w:t>A versão da avaliação corresponde ao sistema/uso implantado e é atualizada após mudança material.</w:t>
      </w:r>
    </w:p>
    <w:p>
      <w:pPr>
        <w:pStyle w:val="Heading1"/>
        <w:tabs>
          <w:tab w:val="clear" w:pos="709"/>
          <w:tab w:val="left" w:pos="0" w:leader="none"/>
        </w:tabs>
        <w:bidi w:val="0"/>
        <w:ind w:hanging="0" w:start="0"/>
        <w:jc w:val="left"/>
        <w:rPr/>
        <w:keepNext/>
      </w:pPr>
      <w:bookmarkStart w:id="68" w:name="anexo-a.6-ciclo-de-vida-do-sistema-de-ia"/>
      <w:r>
        <w:rPr/>
        <w:t>25. Anexo A.6: Ciclo de vida do sistema de IA</w:t>
      </w:r>
      <w:bookmarkEnd w:id="68"/>
    </w:p>
    <w:p>
      <w:pPr>
        <w:pStyle w:val="Firstparagraph"/>
        <w:bidi w:val="0"/>
        <w:rPr>
          <w:i/>
          <w:iCs/>
        </w:rPr>
      </w:pPr>
      <w:r>
        <w:rPr>
          <w:i/>
          <w:iCs/>
        </w:rPr>
        <w:t>O Anexo A.6 conecta objetivos de desenvolvimento responsável a requisitos, projeto, testes, implantação, operação, documentação e registro de eventos.</w:t>
      </w:r>
    </w:p>
    <w:p>
      <w:pPr>
        <w:pStyle w:val="FigureWithCaption"/>
        <w:keepNext w:val="true"/>
        <w:suppressLineNumbers/>
        <w:bidi w:val="0"/>
        <w:rPr/>
      </w:pPr>
      <w:r>
        <w:rPr/>
        <w:drawing>
          <wp:inline distT="0" distB="0" distL="0" distR="0">
            <wp:extent cx="5623560" cy="2955925"/>
            <wp:effectExtent l="0" t="0" r="0" b="0"/>
            <wp:docPr id="6" name="Manual 02 Figure 6" title="Figure 6" descr="Cada marco do ciclo de vida deve produzir evidência rastreável e uma decisão com responsá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Cada marco do ciclo de vida deve produzir evidência rastreável e uma decisão com responsável.</w:t>
      </w:r>
    </w:p>
    <w:p>
      <w:pPr>
        <w:pStyle w:val="Caption"/>
        <w:bidi w:val="0"/>
        <w:spacing w:before="86" w:after="86"/>
        <w:rPr/>
        <w:keepNext/>
      </w:pPr>
      <w:r>
        <w:rPr/>
        <w:t>Figura 6. Ciclo de vida responsável do sistema de IA</w:t>
      </w:r>
    </w:p>
    <w:p>
      <w:pPr>
        <w:pStyle w:val="BlockQuotation"/>
        <w:bidi w:val="0"/>
        <w:ind w:hanging="0" w:start="720" w:end="0"/>
        <w:rPr/>
      </w:pPr>
      <w:r>
        <w:rPr>
          <w:b/>
          <w:bCs/>
        </w:rPr>
        <w:t>Explicação acessível:</w:t>
      </w:r>
      <w:r>
        <w:rPr/>
        <w:t xml:space="preserve"> A figura mostra um fluxo de objetivos e requisitos para projeto, verificação/validação, implantação, operação, monitoramento, mudança e retirada. Cada etapa deve deixar versões, critérios, resultados, aprovações e decisões rastreáveis.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Área do ciclo de vida</w:t>
            </w:r>
          </w:p>
        </w:tc>
        <w:tc>
          <w:tcPr>
            <w:tcW w:w="4680" w:type="dxa"/>
            <w:tcBorders/>
            <w:vAlign w:val="center"/>
            <w:shd w:fill="1F4E78"/>
          </w:tcPr>
          <w:p>
            <w:pPr>
              <w:pStyle w:val="TableHeading"/>
              <w:bidi w:val="0"/>
              <w:spacing w:before="0" w:after="40"/>
              <w:rPr>
                <w:b/>
                <w:bCs/>
              </w:rPr>
            </w:pPr>
            <w:r>
              <w:rPr>
                <w:b/>
                <w:bCs/>
                <w:sz w:val="19"/>
                <w:color w:val="FFFFFF"/>
              </w:rPr>
              <w:t>Evidência de implementação</w:t>
            </w:r>
          </w:p>
        </w:tc>
      </w:tr>
      <w:tr>
        <w:trPr>
          <w:cantSplit/>
        </w:trPr>
        <w:tc>
          <w:tcPr>
            <w:tcW w:w="4680" w:type="dxa"/>
            <w:tcBorders/>
            <w:vAlign w:val="center"/>
          </w:tcPr>
          <w:p>
            <w:pPr>
              <w:pStyle w:val="TableContents"/>
              <w:suppressLineNumbers/>
              <w:bidi w:val="0"/>
              <w:spacing w:before="0" w:after="40"/>
              <w:ind w:hanging="0" w:start="43" w:end="43"/>
              <w:rPr/>
            </w:pPr>
            <w:r>
              <w:rPr>
                <w:sz w:val="19"/>
              </w:rPr>
              <w:t>Objetivos/processo responsável</w:t>
            </w:r>
          </w:p>
        </w:tc>
        <w:tc>
          <w:tcPr>
            <w:tcW w:w="4680" w:type="dxa"/>
            <w:tcBorders/>
            <w:vAlign w:val="center"/>
          </w:tcPr>
          <w:p>
            <w:pPr>
              <w:pStyle w:val="TableContents"/>
              <w:suppressLineNumbers/>
              <w:bidi w:val="0"/>
              <w:spacing w:before="0" w:after="40"/>
              <w:ind w:hanging="0" w:start="43" w:end="43"/>
              <w:rPr/>
            </w:pPr>
            <w:r>
              <w:rPr>
                <w:sz w:val="19"/>
              </w:rPr>
              <w:t>Equidade, segurança funcional, privacidade, transparência, cibersegurança, robustez e outros objetivos mensuráveis relevantes; procedimento do ciclo de vida</w:t>
            </w:r>
          </w:p>
        </w:tc>
      </w:tr>
      <w:tr>
        <w:trPr>
          <w:cantSplit/>
        </w:trPr>
        <w:tc>
          <w:tcPr>
            <w:tcW w:w="4680" w:type="dxa"/>
            <w:tcBorders/>
            <w:vAlign w:val="center"/>
          </w:tcPr>
          <w:p>
            <w:pPr>
              <w:pStyle w:val="TableContents"/>
              <w:suppressLineNumbers/>
              <w:bidi w:val="0"/>
              <w:spacing w:before="0" w:after="40"/>
              <w:ind w:hanging="0" w:start="43" w:end="43"/>
              <w:rPr/>
            </w:pPr>
            <w:r>
              <w:rPr>
                <w:sz w:val="19"/>
              </w:rPr>
              <w:t>Requisitos/especificação</w:t>
            </w:r>
          </w:p>
        </w:tc>
        <w:tc>
          <w:tcPr>
            <w:tcW w:w="4680" w:type="dxa"/>
            <w:tcBorders/>
            <w:vAlign w:val="center"/>
          </w:tcPr>
          <w:p>
            <w:pPr>
              <w:pStyle w:val="TableContents"/>
              <w:suppressLineNumbers/>
              <w:bidi w:val="0"/>
              <w:spacing w:before="0" w:after="40"/>
              <w:ind w:hanging="0" w:start="43" w:end="43"/>
              <w:rPr/>
            </w:pPr>
            <w:r>
              <w:rPr>
                <w:sz w:val="19"/>
              </w:rPr>
              <w:t>Finalidade, critérios funcionais e não funcionais, pessoas afetadas, dados, modelo, supervisão humana, limites e obrigações</w:t>
            </w:r>
          </w:p>
        </w:tc>
      </w:tr>
      <w:tr>
        <w:trPr>
          <w:cantSplit/>
        </w:trPr>
        <w:tc>
          <w:tcPr>
            <w:tcW w:w="4680" w:type="dxa"/>
            <w:tcBorders/>
            <w:vAlign w:val="center"/>
          </w:tcPr>
          <w:p>
            <w:pPr>
              <w:pStyle w:val="TableContents"/>
              <w:suppressLineNumbers/>
              <w:bidi w:val="0"/>
              <w:spacing w:before="0" w:after="40"/>
              <w:ind w:hanging="0" w:start="43" w:end="43"/>
              <w:rPr/>
            </w:pPr>
            <w:r>
              <w:rPr>
                <w:sz w:val="19"/>
              </w:rPr>
              <w:t>Registros de projeto/desenvolvimento</w:t>
            </w:r>
          </w:p>
        </w:tc>
        <w:tc>
          <w:tcPr>
            <w:tcW w:w="4680" w:type="dxa"/>
            <w:tcBorders/>
            <w:vAlign w:val="center"/>
          </w:tcPr>
          <w:p>
            <w:pPr>
              <w:pStyle w:val="TableContents"/>
              <w:suppressLineNumbers/>
              <w:bidi w:val="0"/>
              <w:spacing w:before="0" w:after="40"/>
              <w:ind w:hanging="0" w:start="43" w:end="43"/>
              <w:rPr/>
            </w:pPr>
            <w:r>
              <w:rPr>
                <w:sz w:val="19"/>
              </w:rPr>
              <w:t>Arquitetura, decisões, alternativas, premissas, componentes, ameaças, interfaces, proveniência e revisões</w:t>
            </w:r>
          </w:p>
        </w:tc>
      </w:tr>
      <w:tr>
        <w:trPr>
          <w:cantSplit/>
        </w:trPr>
        <w:tc>
          <w:tcPr>
            <w:tcW w:w="4680" w:type="dxa"/>
            <w:tcBorders/>
            <w:vAlign w:val="center"/>
          </w:tcPr>
          <w:p>
            <w:pPr>
              <w:pStyle w:val="TableContents"/>
              <w:suppressLineNumbers/>
              <w:bidi w:val="0"/>
              <w:spacing w:before="0" w:after="40"/>
              <w:ind w:hanging="0" w:start="43" w:end="43"/>
              <w:rPr/>
            </w:pPr>
            <w:r>
              <w:rPr>
                <w:sz w:val="19"/>
              </w:rPr>
              <w:t>Verificação/validação</w:t>
            </w:r>
          </w:p>
        </w:tc>
        <w:tc>
          <w:tcPr>
            <w:tcW w:w="4680" w:type="dxa"/>
            <w:tcBorders/>
            <w:vAlign w:val="center"/>
          </w:tcPr>
          <w:p>
            <w:pPr>
              <w:pStyle w:val="TableContents"/>
              <w:suppressLineNumbers/>
              <w:bidi w:val="0"/>
              <w:spacing w:before="0" w:after="40"/>
              <w:ind w:hanging="0" w:start="43" w:end="43"/>
              <w:rPr/>
            </w:pPr>
            <w:r>
              <w:rPr>
                <w:sz w:val="19"/>
              </w:rPr>
              <w:t>Métodos, dados de avaliação, avaliadores, limites, falhas graves, testes de subgrupos/casos extremos/adversariais e limitações</w:t>
            </w:r>
          </w:p>
        </w:tc>
      </w:tr>
      <w:tr>
        <w:trPr>
          <w:cantSplit/>
        </w:trPr>
        <w:tc>
          <w:tcPr>
            <w:tcW w:w="4680" w:type="dxa"/>
            <w:tcBorders/>
            <w:vAlign w:val="center"/>
          </w:tcPr>
          <w:p>
            <w:pPr>
              <w:pStyle w:val="TableContents"/>
              <w:suppressLineNumbers/>
              <w:bidi w:val="0"/>
              <w:spacing w:before="0" w:after="40"/>
              <w:ind w:hanging="0" w:start="43" w:end="43"/>
              <w:rPr/>
            </w:pPr>
            <w:r>
              <w:rPr>
                <w:sz w:val="19"/>
              </w:rPr>
              <w:t>Implantação</w:t>
            </w:r>
          </w:p>
        </w:tc>
        <w:tc>
          <w:tcPr>
            <w:tcW w:w="4680" w:type="dxa"/>
            <w:tcBorders/>
            <w:vAlign w:val="center"/>
          </w:tcPr>
          <w:p>
            <w:pPr>
              <w:pStyle w:val="TableContents"/>
              <w:suppressLineNumbers/>
              <w:bidi w:val="0"/>
              <w:spacing w:before="0" w:after="40"/>
              <w:ind w:hanging="0" w:start="43" w:end="43"/>
              <w:rPr/>
            </w:pPr>
            <w:r>
              <w:rPr>
                <w:sz w:val="19"/>
              </w:rPr>
              <w:t>Aprovação de liberação, ambiente, configuração, informação ao usuário, migração, monitoramento e rollback</w:t>
            </w:r>
          </w:p>
        </w:tc>
      </w:tr>
      <w:tr>
        <w:trPr>
          <w:cantSplit/>
        </w:trPr>
        <w:tc>
          <w:tcPr>
            <w:tcW w:w="4680" w:type="dxa"/>
            <w:tcBorders/>
            <w:vAlign w:val="center"/>
          </w:tcPr>
          <w:p>
            <w:pPr>
              <w:pStyle w:val="TableContents"/>
              <w:suppressLineNumbers/>
              <w:bidi w:val="0"/>
              <w:spacing w:before="0" w:after="40"/>
              <w:ind w:hanging="0" w:start="43" w:end="43"/>
              <w:rPr/>
            </w:pPr>
            <w:r>
              <w:rPr>
                <w:sz w:val="19"/>
              </w:rPr>
              <w:t>Operação/monitoramento</w:t>
            </w:r>
          </w:p>
        </w:tc>
        <w:tc>
          <w:tcPr>
            <w:tcW w:w="4680" w:type="dxa"/>
            <w:tcBorders/>
            <w:vAlign w:val="center"/>
          </w:tcPr>
          <w:p>
            <w:pPr>
              <w:pStyle w:val="TableContents"/>
              <w:suppressLineNumbers/>
              <w:bidi w:val="0"/>
              <w:spacing w:before="0" w:after="40"/>
              <w:ind w:hanging="0" w:start="43" w:end="43"/>
              <w:rPr/>
            </w:pPr>
            <w:r>
              <w:rPr>
                <w:sz w:val="19"/>
              </w:rPr>
              <w:t>Desempenho, drift, segurança, segurança funcional, impacto, reclamações, mudanças, suporte, reparo e atualizações</w:t>
            </w:r>
          </w:p>
        </w:tc>
      </w:tr>
      <w:tr>
        <w:trPr>
          <w:cantSplit/>
        </w:trPr>
        <w:tc>
          <w:tcPr>
            <w:tcW w:w="4680" w:type="dxa"/>
            <w:tcBorders/>
            <w:vAlign w:val="center"/>
          </w:tcPr>
          <w:p>
            <w:pPr>
              <w:pStyle w:val="TableContents"/>
              <w:suppressLineNumbers/>
              <w:bidi w:val="0"/>
              <w:spacing w:before="0" w:after="40"/>
              <w:ind w:hanging="0" w:start="43" w:end="43"/>
              <w:rPr/>
            </w:pPr>
            <w:r>
              <w:rPr>
                <w:sz w:val="19"/>
              </w:rPr>
              <w:t>Documentação técnica/logs</w:t>
            </w:r>
          </w:p>
        </w:tc>
        <w:tc>
          <w:tcPr>
            <w:tcW w:w="4680" w:type="dxa"/>
            <w:tcBorders/>
            <w:vAlign w:val="center"/>
          </w:tcPr>
          <w:p>
            <w:pPr>
              <w:pStyle w:val="TableContents"/>
              <w:suppressLineNumbers/>
              <w:bidi w:val="0"/>
              <w:spacing w:before="0" w:after="40"/>
              <w:ind w:hanging="0" w:start="43" w:end="43"/>
              <w:rPr/>
            </w:pPr>
            <w:r>
              <w:rPr>
                <w:sz w:val="19"/>
              </w:rPr>
              <w:t>Instruções adequadas ao público mais eventos rastreáveis para auditoria, incidentes, decisões e melhoria</w:t>
            </w:r>
          </w:p>
        </w:tc>
      </w:tr>
    </w:tbl>
    <w:p>
      <w:pPr>
        <w:pStyle w:val="Heading2"/>
        <w:tabs>
          <w:tab w:val="clear" w:pos="709"/>
          <w:tab w:val="left" w:pos="0" w:leader="none"/>
        </w:tabs>
        <w:bidi w:val="0"/>
        <w:ind w:hanging="0" w:start="0"/>
        <w:jc w:val="left"/>
        <w:rPr/>
        <w:keepNext/>
      </w:pPr>
      <w:bookmarkStart w:id="69" w:name="mudança-e-retirada"/>
      <w:r>
        <w:rPr/>
        <w:t>25.1 Mudança e retirada</w:t>
      </w:r>
      <w:bookmarkEnd w:id="69"/>
    </w:p>
    <w:p>
      <w:pPr>
        <w:pStyle w:val="BodyText"/>
        <w:numPr>
          <w:ilvl w:val="0"/>
          <w:numId w:val="38"/>
        </w:numPr>
        <w:bidi w:val="0"/>
        <w:spacing w:before="0" w:after="0"/>
        <w:rPr/>
      </w:pPr>
      <w:r>
        <w:rPr/>
        <w:t>Versione modelo, dados, prompts, recuperação, ferramentas, código, infraestrutura, políticas, avaliação, aprovações e monitoramento.</w:t>
      </w:r>
    </w:p>
    <w:p>
      <w:pPr>
        <w:pStyle w:val="BodyText"/>
        <w:numPr>
          <w:ilvl w:val="0"/>
          <w:numId w:val="38"/>
        </w:numPr>
        <w:bidi w:val="0"/>
        <w:spacing w:before="0" w:after="0"/>
        <w:rPr/>
      </w:pPr>
      <w:r>
        <w:rPr/>
        <w:t>Defina gatilhos de mudança material e escopo de regressão; implante gradualmente com rollback.</w:t>
      </w:r>
    </w:p>
    <w:p>
      <w:pPr>
        <w:pStyle w:val="BodyText"/>
        <w:numPr>
          <w:ilvl w:val="0"/>
          <w:numId w:val="38"/>
        </w:numPr>
        <w:bidi w:val="0"/>
        <w:spacing w:before="0" w:after="0"/>
        <w:rPr/>
      </w:pPr>
      <w:r>
        <w:rPr/>
        <w:t>Retire usuários, identidades, integrações, endpoints, modelos, conjuntos de dados, índices, logs, documentação, contratos e cópias de fornecedores conforme obrigações; preserve registros exigidos.</w:t>
      </w:r>
    </w:p>
    <w:p>
      <w:pPr>
        <w:pStyle w:val="Heading1"/>
        <w:tabs>
          <w:tab w:val="clear" w:pos="709"/>
          <w:tab w:val="left" w:pos="0" w:leader="none"/>
        </w:tabs>
        <w:bidi w:val="0"/>
        <w:ind w:hanging="0" w:start="0"/>
        <w:jc w:val="left"/>
        <w:rPr/>
        <w:keepNext/>
      </w:pPr>
      <w:bookmarkStart w:id="70" w:name="anexo-a.7-dados-para-sistemas-de-ia"/>
      <w:r>
        <w:rPr/>
        <w:t>26. Anexo A.7: Dados para sistemas de IA</w:t>
      </w:r>
      <w:bookmarkEnd w:id="70"/>
    </w:p>
    <w:p>
      <w:pPr>
        <w:pStyle w:val="Firstparagraph"/>
        <w:bidi w:val="0"/>
        <w:rPr>
          <w:i/>
          <w:iCs/>
        </w:rPr>
      </w:pPr>
      <w:r>
        <w:rPr>
          <w:i/>
          <w:iCs/>
        </w:rPr>
        <w:t>O Anexo A.7 exige aquisição, qualidade, proveniência e preparação governadas de dados para desenvolvimento, melhoria e operação de IA.</w:t>
      </w:r>
    </w:p>
    <w:p>
      <w:pPr>
        <w:pStyle w:val="FigureWithCaption"/>
        <w:keepNext w:val="true"/>
        <w:suppressLineNumbers/>
        <w:bidi w:val="0"/>
        <w:rPr/>
      </w:pPr>
      <w:r>
        <w:rPr/>
        <w:drawing>
          <wp:inline distT="0" distB="0" distL="0" distR="0">
            <wp:extent cx="5623560" cy="2955925"/>
            <wp:effectExtent l="0" t="0" r="0" b="0"/>
            <wp:docPr id="7" name="Manual 02 Figure 7" title="Figure 7" descr="A linhagem deve conectar fonte e autoridade a transformações, qualidade, uso, retenção e exclu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A linhagem deve conectar fonte e autoridade a transformações, qualidade, uso, retenção e exclusão.</w:t>
      </w:r>
    </w:p>
    <w:p>
      <w:pPr>
        <w:pStyle w:val="Caption"/>
        <w:bidi w:val="0"/>
        <w:spacing w:before="86" w:after="86"/>
        <w:rPr/>
        <w:keepNext/>
      </w:pPr>
      <w:r>
        <w:rPr/>
        <w:t>Figura 7. Cadeia de evidências de dados de IA</w:t>
      </w:r>
    </w:p>
    <w:p>
      <w:pPr>
        <w:pStyle w:val="BlockQuotation"/>
        <w:bidi w:val="0"/>
        <w:ind w:hanging="0" w:start="720" w:end="0"/>
        <w:rPr/>
      </w:pPr>
      <w:r>
        <w:rPr>
          <w:b/>
          <w:bCs/>
        </w:rPr>
        <w:t>Explicação acessível:</w:t>
      </w:r>
      <w:r>
        <w:rPr/>
        <w:t xml:space="preserve"> A cadeia de evidências acompanha os dados desde sua origem, autoridade e direitos, passando por aquisição, transformação, rotulagem, qualidade, versionamento e uso, até retenção ou exclusão. Deve permitir reproduzir quais dados sustentaram cada versão e decisão relevante.</w:t>
      </w:r>
    </w:p>
    <w:p>
      <w:pPr>
        <w:pStyle w:val="Heading2"/>
        <w:tabs>
          <w:tab w:val="clear" w:pos="709"/>
          <w:tab w:val="left" w:pos="0" w:leader="none"/>
        </w:tabs>
        <w:bidi w:val="0"/>
        <w:ind w:hanging="0" w:start="0"/>
        <w:jc w:val="left"/>
        <w:rPr/>
        <w:keepNext/>
      </w:pPr>
      <w:bookmarkStart w:id="71" w:name="controles-de-dados"/>
      <w:r>
        <w:rPr/>
        <w:t>26.1 Controles de dados</w:t>
      </w:r>
      <w:bookmarkEnd w:id="71"/>
    </w:p>
    <w:p>
      <w:pPr>
        <w:pStyle w:val="BodyText"/>
        <w:numPr>
          <w:ilvl w:val="0"/>
          <w:numId w:val="39"/>
        </w:numPr>
        <w:bidi w:val="0"/>
        <w:spacing w:before="0" w:after="0"/>
        <w:rPr/>
      </w:pPr>
      <w:r>
        <w:rPr/>
        <w:t>Defina requisitos de gestão de dados para privacidade, segurança, representatividade, explicabilidade, proveniência, precisão, integridade, disponibilidade, retenção e exclusão conforme relevante.</w:t>
      </w:r>
    </w:p>
    <w:p>
      <w:pPr>
        <w:pStyle w:val="BodyText"/>
        <w:numPr>
          <w:ilvl w:val="0"/>
          <w:numId w:val="39"/>
        </w:numPr>
        <w:bidi w:val="0"/>
        <w:spacing w:before="0" w:after="0"/>
        <w:rPr/>
      </w:pPr>
      <w:r>
        <w:rPr/>
        <w:t>Documente aquisição/seleção: fonte, método, pessoas/população, direitos/licença, finalidade anterior, consentimento/autoridade quando aplicável, metadados, data, restrições e vieses conhecidos.</w:t>
      </w:r>
    </w:p>
    <w:p>
      <w:pPr>
        <w:pStyle w:val="BodyText"/>
        <w:numPr>
          <w:ilvl w:val="0"/>
          <w:numId w:val="39"/>
        </w:numPr>
        <w:bidi w:val="0"/>
        <w:spacing w:before="0" w:after="0"/>
        <w:rPr/>
      </w:pPr>
      <w:r>
        <w:rPr/>
        <w:t>Estabeleça critérios e limites de qualidade específicos do uso para precisão, completude, consistência, atualidade, unicidade, validade, representatividade, rótulos e cobertura de subgrupos.</w:t>
      </w:r>
    </w:p>
    <w:p>
      <w:pPr>
        <w:pStyle w:val="BodyText"/>
        <w:numPr>
          <w:ilvl w:val="0"/>
          <w:numId w:val="39"/>
        </w:numPr>
        <w:bidi w:val="0"/>
        <w:spacing w:before="0" w:after="0"/>
        <w:rPr/>
      </w:pPr>
      <w:r>
        <w:rPr/>
        <w:t>Preserve proveniência por criação, aquisição, transferência, transformação, rotulagem, aumento, filtragem, versionamento, validação, uso, compartilhamento, correção e exclusão.</w:t>
      </w:r>
    </w:p>
    <w:p>
      <w:pPr>
        <w:pStyle w:val="BodyText"/>
        <w:numPr>
          <w:ilvl w:val="0"/>
          <w:numId w:val="39"/>
        </w:numPr>
        <w:bidi w:val="0"/>
        <w:spacing w:before="0" w:after="0"/>
        <w:rPr/>
      </w:pPr>
      <w:r>
        <w:rPr/>
        <w:t>Documente métodos de preparação, código/ferramenta/versão, parâmetros, pessoas, verificações de qualidade, justificativa, saídas e reprodutibilidade.</w:t>
      </w:r>
    </w:p>
    <w:p>
      <w:pPr>
        <w:pStyle w:val="BodyText"/>
        <w:numPr>
          <w:ilvl w:val="0"/>
          <w:numId w:val="39"/>
        </w:numPr>
        <w:bidi w:val="0"/>
        <w:spacing w:before="0" w:after="0"/>
        <w:rPr/>
      </w:pPr>
      <w:r>
        <w:rPr/>
        <w:t>Separe e proteja conjuntos de treinamento, validação, teste, produção, monitoramento e incidentes; evite vazamento do conjunto de avaliação.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Evidência de dados</w:t>
            </w:r>
          </w:p>
        </w:tc>
        <w:tc>
          <w:tcPr>
            <w:tcW w:w="4680" w:type="dxa"/>
            <w:tcBorders/>
            <w:vAlign w:val="center"/>
            <w:shd w:fill="1F4E78"/>
          </w:tcPr>
          <w:p>
            <w:pPr>
              <w:pStyle w:val="TableHeading"/>
              <w:bidi w:val="0"/>
              <w:spacing w:before="0" w:after="40"/>
              <w:rPr>
                <w:b/>
                <w:bCs/>
              </w:rPr>
            </w:pPr>
            <w:r>
              <w:rPr>
                <w:b/>
                <w:bCs/>
                <w:sz w:val="19"/>
                <w:color w:val="FFFFFF"/>
              </w:rPr>
              <w:t>Teste</w:t>
            </w:r>
          </w:p>
        </w:tc>
      </w:tr>
      <w:tr>
        <w:trPr>
          <w:cantSplit/>
        </w:trPr>
        <w:tc>
          <w:tcPr>
            <w:tcW w:w="4680" w:type="dxa"/>
            <w:tcBorders/>
            <w:vAlign w:val="center"/>
          </w:tcPr>
          <w:p>
            <w:pPr>
              <w:pStyle w:val="TableContents"/>
              <w:suppressLineNumbers/>
              <w:bidi w:val="0"/>
              <w:spacing w:before="0" w:after="40"/>
              <w:ind w:hanging="0" w:start="43" w:end="43"/>
              <w:rPr/>
            </w:pPr>
            <w:r>
              <w:rPr>
                <w:sz w:val="19"/>
              </w:rPr>
              <w:t>Ficha de conjunto/dados</w:t>
            </w:r>
          </w:p>
        </w:tc>
        <w:tc>
          <w:tcPr>
            <w:tcW w:w="4680" w:type="dxa"/>
            <w:tcBorders/>
            <w:vAlign w:val="center"/>
          </w:tcPr>
          <w:p>
            <w:pPr>
              <w:pStyle w:val="TableContents"/>
              <w:suppressLineNumbers/>
              <w:bidi w:val="0"/>
              <w:spacing w:before="0" w:after="40"/>
              <w:ind w:hanging="0" w:start="43" w:end="43"/>
              <w:rPr/>
            </w:pPr>
            <w:r>
              <w:rPr>
                <w:sz w:val="19"/>
              </w:rPr>
              <w:t>Rastrear finalidade, população, campos, fonte, direitos, qualidade, limitações e proprietário</w:t>
            </w:r>
          </w:p>
        </w:tc>
      </w:tr>
      <w:tr>
        <w:trPr>
          <w:cantSplit/>
        </w:trPr>
        <w:tc>
          <w:tcPr>
            <w:tcW w:w="4680" w:type="dxa"/>
            <w:tcBorders/>
            <w:vAlign w:val="center"/>
          </w:tcPr>
          <w:p>
            <w:pPr>
              <w:pStyle w:val="TableContents"/>
              <w:suppressLineNumbers/>
              <w:bidi w:val="0"/>
              <w:spacing w:before="0" w:after="40"/>
              <w:ind w:hanging="0" w:start="43" w:end="43"/>
              <w:rPr/>
            </w:pPr>
            <w:r>
              <w:rPr>
                <w:sz w:val="19"/>
              </w:rPr>
              <w:t>Linhagem</w:t>
            </w:r>
          </w:p>
        </w:tc>
        <w:tc>
          <w:tcPr>
            <w:tcW w:w="4680" w:type="dxa"/>
            <w:tcBorders/>
            <w:vAlign w:val="center"/>
          </w:tcPr>
          <w:p>
            <w:pPr>
              <w:pStyle w:val="TableContents"/>
              <w:suppressLineNumbers/>
              <w:bidi w:val="0"/>
              <w:spacing w:before="0" w:after="40"/>
              <w:ind w:hanging="0" w:start="43" w:end="43"/>
              <w:rPr/>
            </w:pPr>
            <w:r>
              <w:rPr>
                <w:sz w:val="19"/>
              </w:rPr>
              <w:t>Reproduzir transformações de fonte para atributo e versão</w:t>
            </w:r>
          </w:p>
        </w:tc>
      </w:tr>
      <w:tr>
        <w:trPr>
          <w:cantSplit/>
        </w:trPr>
        <w:tc>
          <w:tcPr>
            <w:tcW w:w="4680" w:type="dxa"/>
            <w:tcBorders/>
            <w:vAlign w:val="center"/>
          </w:tcPr>
          <w:p>
            <w:pPr>
              <w:pStyle w:val="TableContents"/>
              <w:suppressLineNumbers/>
              <w:bidi w:val="0"/>
              <w:spacing w:before="0" w:after="40"/>
              <w:ind w:hanging="0" w:start="43" w:end="43"/>
              <w:rPr/>
            </w:pPr>
            <w:r>
              <w:rPr>
                <w:sz w:val="19"/>
              </w:rPr>
              <w:t>Resultado de qualidade</w:t>
            </w:r>
          </w:p>
        </w:tc>
        <w:tc>
          <w:tcPr>
            <w:tcW w:w="4680" w:type="dxa"/>
            <w:tcBorders/>
            <w:vAlign w:val="center"/>
          </w:tcPr>
          <w:p>
            <w:pPr>
              <w:pStyle w:val="TableContents"/>
              <w:suppressLineNumbers/>
              <w:bidi w:val="0"/>
              <w:spacing w:before="0" w:after="40"/>
              <w:ind w:hanging="0" w:start="43" w:end="43"/>
              <w:rPr/>
            </w:pPr>
            <w:r>
              <w:rPr>
                <w:sz w:val="19"/>
              </w:rPr>
              <w:t>Verificar população/amostra, regras, falhas, correção e aprovação</w:t>
            </w:r>
          </w:p>
        </w:tc>
      </w:tr>
      <w:tr>
        <w:trPr>
          <w:cantSplit/>
        </w:trPr>
        <w:tc>
          <w:tcPr>
            <w:tcW w:w="4680" w:type="dxa"/>
            <w:tcBorders/>
            <w:vAlign w:val="center"/>
          </w:tcPr>
          <w:p>
            <w:pPr>
              <w:pStyle w:val="TableContents"/>
              <w:suppressLineNumbers/>
              <w:bidi w:val="0"/>
              <w:spacing w:before="0" w:after="40"/>
              <w:ind w:hanging="0" w:start="43" w:end="43"/>
              <w:rPr/>
            </w:pPr>
            <w:r>
              <w:rPr>
                <w:sz w:val="19"/>
              </w:rPr>
              <w:t>Acesso/retenção</w:t>
            </w:r>
          </w:p>
        </w:tc>
        <w:tc>
          <w:tcPr>
            <w:tcW w:w="4680" w:type="dxa"/>
            <w:tcBorders/>
            <w:vAlign w:val="center"/>
          </w:tcPr>
          <w:p>
            <w:pPr>
              <w:pStyle w:val="TableContents"/>
              <w:suppressLineNumbers/>
              <w:bidi w:val="0"/>
              <w:spacing w:before="0" w:after="40"/>
              <w:ind w:hanging="0" w:start="43" w:end="43"/>
              <w:rPr/>
            </w:pPr>
            <w:r>
              <w:rPr>
                <w:sz w:val="19"/>
              </w:rPr>
              <w:t>Amostrar concessões, revisões, remoções, uso, cópias e exclusão</w:t>
            </w:r>
          </w:p>
        </w:tc>
      </w:tr>
      <w:tr>
        <w:trPr>
          <w:cantSplit/>
        </w:trPr>
        <w:tc>
          <w:tcPr>
            <w:tcW w:w="4680" w:type="dxa"/>
            <w:tcBorders/>
            <w:vAlign w:val="center"/>
          </w:tcPr>
          <w:p>
            <w:pPr>
              <w:pStyle w:val="TableContents"/>
              <w:suppressLineNumbers/>
              <w:bidi w:val="0"/>
              <w:spacing w:before="0" w:after="40"/>
              <w:ind w:hanging="0" w:start="43" w:end="43"/>
              <w:rPr/>
            </w:pPr>
            <w:r>
              <w:rPr>
                <w:sz w:val="19"/>
              </w:rPr>
              <w:t>Viés/representação</w:t>
            </w:r>
          </w:p>
        </w:tc>
        <w:tc>
          <w:tcPr>
            <w:tcW w:w="4680" w:type="dxa"/>
            <w:tcBorders/>
            <w:vAlign w:val="center"/>
          </w:tcPr>
          <w:p>
            <w:pPr>
              <w:pStyle w:val="TableContents"/>
              <w:suppressLineNumbers/>
              <w:bidi w:val="0"/>
              <w:spacing w:before="0" w:after="40"/>
              <w:ind w:hanging="0" w:start="43" w:end="43"/>
              <w:rPr/>
            </w:pPr>
            <w:r>
              <w:rPr>
                <w:sz w:val="19"/>
              </w:rPr>
              <w:t>Verificar grupos relevantes, histórico, proxies, rótulos, lacunas e mitigação</w:t>
            </w:r>
          </w:p>
        </w:tc>
      </w:tr>
    </w:tbl>
    <w:p>
      <w:pPr>
        <w:pStyle w:val="Heading1"/>
        <w:tabs>
          <w:tab w:val="clear" w:pos="709"/>
          <w:tab w:val="left" w:pos="0" w:leader="none"/>
        </w:tabs>
        <w:bidi w:val="0"/>
        <w:ind w:hanging="0" w:start="0"/>
        <w:jc w:val="left"/>
        <w:rPr/>
        <w:keepNext/>
      </w:pPr>
      <w:bookmarkStart w:id="72" w:name="anexo-a.8-informação-para-partes-interes"/>
      <w:r>
        <w:rPr/>
        <w:t>27. Anexo A.8: Informação para partes interessadas</w:t>
      </w:r>
      <w:bookmarkEnd w:id="72"/>
    </w:p>
    <w:p>
      <w:pPr>
        <w:pStyle w:val="Firstparagraph"/>
        <w:bidi w:val="0"/>
        <w:rPr>
          <w:i/>
          <w:iCs/>
        </w:rPr>
      </w:pPr>
      <w:r>
        <w:rPr>
          <w:i/>
          <w:iCs/>
        </w:rPr>
        <w:t>O Anexo A.8 exige informação útil para usuários e partes interessadas, além de reporte e comunicação de incidentes.</w:t>
      </w:r>
    </w:p>
    <w:p>
      <w:pPr>
        <w:pStyle w:val="FigureWithCaption"/>
        <w:keepNext w:val="true"/>
        <w:suppressLineNumbers/>
        <w:bidi w:val="0"/>
        <w:rPr/>
      </w:pPr>
      <w:r>
        <w:rPr/>
        <w:drawing>
          <wp:inline distT="0" distB="0" distL="0" distR="0">
            <wp:extent cx="5623560" cy="2955925"/>
            <wp:effectExtent l="0" t="0" r="0" b="0"/>
            <wp:docPr id="8" name="Manual 02 Figure 8" title="Figure 8" descr="Transparência é comunicação específica ao público que permite uso seguro, responsabilização e repa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Transparência é comunicação específica ao público que permite uso seguro, responsabilização e reparação.</w:t>
      </w:r>
    </w:p>
    <w:p>
      <w:pPr>
        <w:pStyle w:val="Caption"/>
        <w:bidi w:val="0"/>
        <w:spacing w:before="86" w:after="86"/>
        <w:rPr/>
        <w:keepNext/>
      </w:pPr>
      <w:r>
        <w:rPr/>
        <w:t>Figura 8. Informação para partes interessadas</w:t>
      </w:r>
    </w:p>
    <w:p>
      <w:pPr>
        <w:pStyle w:val="BlockQuotation"/>
        <w:bidi w:val="0"/>
        <w:ind w:hanging="0" w:start="720" w:end="0"/>
        <w:rPr/>
      </w:pPr>
      <w:r>
        <w:rPr>
          <w:b/>
          <w:bCs/>
        </w:rPr>
        <w:t>Explicação acessível:</w:t>
      </w:r>
      <w:r>
        <w:rPr/>
        <w:t xml:space="preserve"> A informação deve ser adaptada ao público. Usuários precisam de finalidade, capacidades e limites; pessoas afetadas precisam saber como a IA participa e como solicitar revisão ou reparação; clientes, reguladores e público recebem informação proporcional às suas responsabilidades e riscos.</w:t>
      </w:r>
    </w:p>
    <w:p>
      <w:pPr>
        <w:pStyle w:val="Heading2"/>
        <w:tabs>
          <w:tab w:val="clear" w:pos="709"/>
          <w:tab w:val="left" w:pos="0" w:leader="none"/>
        </w:tabs>
        <w:bidi w:val="0"/>
        <w:ind w:hanging="0" w:start="0"/>
        <w:jc w:val="left"/>
        <w:rPr/>
        <w:keepNext/>
      </w:pPr>
      <w:bookmarkStart w:id="73" w:name="pacote-de-informação"/>
      <w:r>
        <w:rPr/>
        <w:t>27.1 Pacote de informação</w:t>
      </w:r>
      <w:bookmarkEnd w:id="73"/>
    </w:p>
    <w:p>
      <w:pPr>
        <w:pStyle w:val="BodyText"/>
        <w:numPr>
          <w:ilvl w:val="0"/>
          <w:numId w:val="40"/>
        </w:numPr>
        <w:bidi w:val="0"/>
        <w:spacing w:before="0" w:after="0"/>
        <w:rPr/>
      </w:pPr>
      <w:r>
        <w:rPr/>
        <w:t>Usuários: finalidade pretendida, capacidades, limitações, entradas/saídas esperadas, uso proibido, verificação, supervisão humana, monitoramento, escalonamento e suporte.</w:t>
      </w:r>
    </w:p>
    <w:p>
      <w:pPr>
        <w:pStyle w:val="BodyText"/>
        <w:numPr>
          <w:ilvl w:val="0"/>
          <w:numId w:val="40"/>
        </w:numPr>
        <w:bidi w:val="0"/>
        <w:spacing w:before="0" w:after="0"/>
        <w:rPr/>
      </w:pPr>
      <w:r>
        <w:rPr/>
        <w:t>Pessoas afetadas: que IA é usada quando apropriado, papel na decisão, fatores/limitações importantes, dados e direitos, revisão humana, correção, recurso, reclamação e reparação.</w:t>
      </w:r>
    </w:p>
    <w:p>
      <w:pPr>
        <w:pStyle w:val="BodyText"/>
        <w:numPr>
          <w:ilvl w:val="0"/>
          <w:numId w:val="40"/>
        </w:numPr>
        <w:bidi w:val="0"/>
        <w:spacing w:before="0" w:after="0"/>
        <w:rPr/>
      </w:pPr>
      <w:r>
        <w:rPr/>
        <w:t>Clientes/parceiros: responsabilidades, configuração, dados, dependências de controle, evidências, incidentes, mudanças, suporte e saída.</w:t>
      </w:r>
    </w:p>
    <w:p>
      <w:pPr>
        <w:pStyle w:val="BodyText"/>
        <w:numPr>
          <w:ilvl w:val="0"/>
          <w:numId w:val="40"/>
        </w:numPr>
        <w:bidi w:val="0"/>
        <w:spacing w:before="0" w:after="0"/>
        <w:rPr/>
      </w:pPr>
      <w:r>
        <w:rPr/>
        <w:t>Reguladores/auditores: documentação controlada, escopo, avaliações, controles, resultados de testes, incidentes, mudanças, constatações e ação corretiva conforme exigido.</w:t>
      </w:r>
    </w:p>
    <w:p>
      <w:pPr>
        <w:pStyle w:val="BodyText"/>
        <w:numPr>
          <w:ilvl w:val="0"/>
          <w:numId w:val="40"/>
        </w:numPr>
        <w:bidi w:val="0"/>
        <w:spacing w:before="0" w:after="0"/>
        <w:rPr/>
      </w:pPr>
      <w:r>
        <w:rPr/>
        <w:t>Público: transparência proporcional, impactos significativos, governança, informações de segurança, contato e relatórios quando apropriado.</w:t>
      </w:r>
    </w:p>
    <w:p>
      <w:pPr>
        <w:pStyle w:val="Heading2"/>
        <w:tabs>
          <w:tab w:val="clear" w:pos="709"/>
          <w:tab w:val="left" w:pos="0" w:leader="none"/>
        </w:tabs>
        <w:bidi w:val="0"/>
        <w:ind w:hanging="0" w:start="0"/>
        <w:jc w:val="left"/>
        <w:rPr/>
        <w:keepNext/>
      </w:pPr>
      <w:bookmarkStart w:id="74" w:name="reporte-externo-e-incidentes"/>
      <w:r>
        <w:rPr/>
        <w:t>27.2 Reporte externo e incidentes</w:t>
      </w:r>
      <w:bookmarkEnd w:id="74"/>
    </w:p>
    <w:p>
      <w:pPr>
        <w:pStyle w:val="BodyText"/>
        <w:numPr>
          <w:ilvl w:val="0"/>
          <w:numId w:val="41"/>
        </w:numPr>
        <w:bidi w:val="0"/>
        <w:spacing w:before="0" w:after="0"/>
        <w:rPr/>
      </w:pPr>
      <w:r>
        <w:rPr/>
        <w:t>Forneça canais acessíveis para relatar erros, danos, viés, preocupações de segurança/privacidade, uso indevido, problemas de acessibilidade ou efeitos inesperados.</w:t>
      </w:r>
    </w:p>
    <w:p>
      <w:pPr>
        <w:pStyle w:val="BodyText"/>
        <w:numPr>
          <w:ilvl w:val="0"/>
          <w:numId w:val="41"/>
        </w:numPr>
        <w:bidi w:val="0"/>
        <w:spacing w:before="0" w:after="0"/>
        <w:rPr/>
      </w:pPr>
      <w:r>
        <w:rPr/>
        <w:t>Defina triagem, gravidade, investigação, proteção, retorno, correção, reparação, escalonamento, retenção e análise de tendências.</w:t>
      </w:r>
    </w:p>
    <w:p>
      <w:pPr>
        <w:pStyle w:val="BodyText"/>
        <w:numPr>
          <w:ilvl w:val="0"/>
          <w:numId w:val="41"/>
        </w:numPr>
        <w:bidi w:val="0"/>
        <w:spacing w:before="0" w:after="0"/>
        <w:rPr/>
      </w:pPr>
      <w:r>
        <w:rPr/>
        <w:t>Predefina públicos do incidente, conteúdo, proprietário/porta-voz, revisão jurídica, tempo, canal, acessibilidade, coordenação, atualizações e encerramento.</w:t>
      </w:r>
    </w:p>
    <w:p>
      <w:pPr>
        <w:pStyle w:val="BodyText"/>
        <w:numPr>
          <w:ilvl w:val="0"/>
          <w:numId w:val="41"/>
        </w:numPr>
        <w:bidi w:val="0"/>
        <w:spacing w:before="0" w:after="0"/>
        <w:rPr/>
      </w:pPr>
      <w:r>
        <w:rPr/>
        <w:t>Não divulgue excessivamente informações sensíveis de segurança ou dados pessoais; tampouco esconda limitações materiais atrás de confidencialidade.</w:t>
      </w:r>
    </w:p>
    <w:p>
      <w:pPr>
        <w:pStyle w:val="Heading1"/>
        <w:tabs>
          <w:tab w:val="clear" w:pos="709"/>
          <w:tab w:val="left" w:pos="0" w:leader="none"/>
        </w:tabs>
        <w:bidi w:val="0"/>
        <w:ind w:hanging="0" w:start="0"/>
        <w:jc w:val="left"/>
        <w:rPr/>
        <w:keepNext/>
      </w:pPr>
      <w:bookmarkStart w:id="75" w:name="anexos-a.9-e-a.10-uso-responsável-fornec"/>
      <w:r>
        <w:rPr/>
        <w:t>28. Anexos A.9 e A.10: Uso responsável, fornecedores e clientes</w:t>
      </w:r>
      <w:bookmarkEnd w:id="75"/>
    </w:p>
    <w:p>
      <w:pPr>
        <w:pStyle w:val="Firstparagraph"/>
        <w:bidi w:val="0"/>
        <w:rPr>
          <w:i/>
          <w:iCs/>
        </w:rPr>
      </w:pPr>
      <w:r>
        <w:rPr>
          <w:i/>
          <w:iCs/>
        </w:rPr>
        <w:t>O Anexo A.9 governa o uso responsável e a finalidade pretendida; o Anexo A.10 aloca deveres entre fornecedores, clientes e a cadeia de valor de IA.</w:t>
      </w:r>
    </w:p>
    <w:p>
      <w:pPr>
        <w:pStyle w:val="FigureWithCaption"/>
        <w:keepNext w:val="true"/>
        <w:suppressLineNumbers/>
        <w:bidi w:val="0"/>
        <w:rPr/>
      </w:pPr>
      <w:r>
        <w:rPr/>
        <w:drawing>
          <wp:inline distT="0" distB="0" distL="0" distR="0">
            <wp:extent cx="5623560" cy="2955925"/>
            <wp:effectExtent l="0" t="0" r="0" b="0"/>
            <wp:docPr id="9" name="Manual 02 Figure 9" title="Figure 9" descr="A asseguração de fornecedores deve corresponder ao modelo, serviço, uso, fluxo de dados e configuração do cliente ex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A asseguração de fornecedores deve corresponder ao modelo, serviço, uso, fluxo de dados e configuração do cliente exatos.</w:t>
      </w:r>
    </w:p>
    <w:p>
      <w:pPr>
        <w:pStyle w:val="Caption"/>
        <w:bidi w:val="0"/>
        <w:spacing w:before="86" w:after="86"/>
        <w:rPr/>
        <w:keepNext/>
      </w:pPr>
      <w:r>
        <w:rPr/>
        <w:t>Figura 9. Ciclo de vida de IA de terceiros</w:t>
      </w:r>
    </w:p>
    <w:p>
      <w:pPr>
        <w:pStyle w:val="BlockQuotation"/>
        <w:bidi w:val="0"/>
        <w:ind w:hanging="0" w:start="720" w:end="0"/>
        <w:rPr/>
      </w:pPr>
      <w:r>
        <w:rPr>
          <w:b/>
          <w:bCs/>
        </w:rPr>
        <w:t>Explicação acessível:</w:t>
      </w:r>
      <w:r>
        <w:rPr/>
        <w:t xml:space="preserve"> O controle de terceiros começa identificando atores e responsabilidades, segue com diligência prévia e contratos, monitora mudanças do fornecedor e termina com continuidade, portabilidade, exclusão e saída. Responsabilidade não pode ser transferida por linguagem contratual vaga.</w:t>
      </w:r>
    </w:p>
    <w:p>
      <w:pPr>
        <w:pStyle w:val="Heading2"/>
        <w:tabs>
          <w:tab w:val="clear" w:pos="709"/>
          <w:tab w:val="left" w:pos="0" w:leader="none"/>
        </w:tabs>
        <w:bidi w:val="0"/>
        <w:ind w:hanging="0" w:start="0"/>
        <w:jc w:val="left"/>
        <w:rPr/>
        <w:keepNext/>
      </w:pPr>
      <w:bookmarkStart w:id="76" w:name="uso-responsável"/>
      <w:r>
        <w:rPr/>
        <w:t>28.1 Uso responsável</w:t>
      </w:r>
      <w:bookmarkEnd w:id="76"/>
    </w:p>
    <w:p>
      <w:pPr>
        <w:pStyle w:val="BodyText"/>
        <w:numPr>
          <w:ilvl w:val="0"/>
          <w:numId w:val="42"/>
        </w:numPr>
        <w:bidi w:val="0"/>
        <w:spacing w:before="0" w:after="0"/>
        <w:rPr/>
      </w:pPr>
      <w:r>
        <w:rPr/>
        <w:t>Defina usos aprovados e proibidos, usuários, dados, saídas, decisões, autonomia, verificação, supervisão humana, logging, suporte, incidente e condições de interrupção.</w:t>
      </w:r>
    </w:p>
    <w:p>
      <w:pPr>
        <w:pStyle w:val="BodyText"/>
        <w:numPr>
          <w:ilvl w:val="0"/>
          <w:numId w:val="42"/>
        </w:numPr>
        <w:bidi w:val="0"/>
        <w:spacing w:before="0" w:after="0"/>
        <w:rPr/>
      </w:pPr>
      <w:r>
        <w:rPr/>
        <w:t>Estabeleça objetivos mensuráveis de uso responsável ligados a impactos e riscos relevantes.</w:t>
      </w:r>
    </w:p>
    <w:p>
      <w:pPr>
        <w:pStyle w:val="BodyText"/>
        <w:numPr>
          <w:ilvl w:val="0"/>
          <w:numId w:val="42"/>
        </w:numPr>
        <w:bidi w:val="0"/>
        <w:spacing w:before="0" w:after="0"/>
        <w:rPr/>
      </w:pPr>
      <w:r>
        <w:rPr/>
        <w:t>Treine usuários e supervisores; aplique por identidade, configuração, interfaces, política, monitoramento, revisão e consequências.</w:t>
      </w:r>
    </w:p>
    <w:p>
      <w:pPr>
        <w:pStyle w:val="BodyText"/>
        <w:numPr>
          <w:ilvl w:val="0"/>
          <w:numId w:val="42"/>
        </w:numPr>
        <w:bidi w:val="0"/>
        <w:spacing w:before="0" w:after="0"/>
        <w:rPr/>
      </w:pPr>
      <w:r>
        <w:rPr/>
        <w:t>Detecte expansão de escopo e exija reavaliação antes de reutilização, expansão, novas populações, maior impacto ou novas integrações/ferramentas.</w:t>
      </w:r>
    </w:p>
    <w:p>
      <w:pPr>
        <w:pStyle w:val="Heading2"/>
        <w:tabs>
          <w:tab w:val="clear" w:pos="709"/>
          <w:tab w:val="left" w:pos="0" w:leader="none"/>
        </w:tabs>
        <w:bidi w:val="0"/>
        <w:ind w:hanging="0" w:start="0"/>
        <w:jc w:val="left"/>
        <w:rPr/>
        <w:keepNext/>
      </w:pPr>
      <w:bookmarkStart w:id="77" w:name="terceiros-e-clientes"/>
      <w:r>
        <w:rPr/>
        <w:t>28.2 Terceiros e clientes</w:t>
      </w:r>
      <w:bookmarkEnd w:id="77"/>
    </w:p>
    <w:p>
      <w:pPr>
        <w:pStyle w:val="BodyText"/>
        <w:numPr>
          <w:ilvl w:val="0"/>
          <w:numId w:val="43"/>
        </w:numPr>
        <w:bidi w:val="0"/>
        <w:spacing w:before="0" w:after="0"/>
        <w:rPr/>
      </w:pPr>
      <w:r>
        <w:rPr/>
        <w:t>Mapeie desenvolvedor/fornecedor/implantador, fornecedores de dados/modelos/ferramentas/nuvem, integradores, serviços humanos, clientes, usuários e partes afetadas.</w:t>
      </w:r>
    </w:p>
    <w:p>
      <w:pPr>
        <w:pStyle w:val="BodyText"/>
        <w:numPr>
          <w:ilvl w:val="0"/>
          <w:numId w:val="43"/>
        </w:numPr>
        <w:bidi w:val="0"/>
        <w:spacing w:before="0" w:after="0"/>
        <w:rPr/>
      </w:pPr>
      <w:r>
        <w:rPr/>
        <w:t>Aloque responsabilidade por dados, requisitos, testes, configuração, transparência, supervisão humana, segurança, incidentes, monitoramento, mudança, evidências, direitos, exclusão e saída.</w:t>
      </w:r>
    </w:p>
    <w:p>
      <w:pPr>
        <w:pStyle w:val="BodyText"/>
        <w:numPr>
          <w:ilvl w:val="0"/>
          <w:numId w:val="43"/>
        </w:numPr>
        <w:bidi w:val="0"/>
        <w:spacing w:before="0" w:after="0"/>
        <w:rPr/>
      </w:pPr>
      <w:r>
        <w:rPr/>
        <w:t>Realize diligência prévia e contratação baseadas em risco; verifique documentação de modelo/sistema, avaliação, asseguração de segurança/privacidade, termos de dados, propriedade intelectual, suporte, vulnerabilidades, mudanças, subprocessadores, resiliência e portabilidade.</w:t>
      </w:r>
    </w:p>
    <w:p>
      <w:pPr>
        <w:pStyle w:val="BodyText"/>
        <w:numPr>
          <w:ilvl w:val="0"/>
          <w:numId w:val="43"/>
        </w:numPr>
        <w:bidi w:val="0"/>
        <w:spacing w:before="0" w:after="0"/>
        <w:rPr/>
      </w:pPr>
      <w:r>
        <w:rPr/>
        <w:t>Monitore mudanças de fornecedor em modelo/termos/treinamento/retenção/subprocessadores/incidentes/descontinuação e reavalie prontamente.</w:t>
      </w:r>
    </w:p>
    <w:p>
      <w:pPr>
        <w:pStyle w:val="BodyText"/>
        <w:numPr>
          <w:ilvl w:val="0"/>
          <w:numId w:val="43"/>
        </w:numPr>
        <w:bidi w:val="0"/>
        <w:spacing w:before="0" w:after="0"/>
        <w:rPr/>
      </w:pPr>
      <w:r>
        <w:rPr/>
        <w:t>Defina obrigações e suporte do cliente; não use responsabilidade do cliente como transferência vaga de deveres do fornecedor.</w:t>
      </w:r>
    </w:p>
    <w:p>
      <w:pPr>
        <w:pStyle w:val="Heading1"/>
        <w:tabs>
          <w:tab w:val="clear" w:pos="709"/>
          <w:tab w:val="left" w:pos="0" w:leader="none"/>
        </w:tabs>
        <w:bidi w:val="0"/>
        <w:ind w:hanging="0" w:start="0"/>
        <w:jc w:val="left"/>
        <w:rPr/>
        <w:keepNext/>
      </w:pPr>
      <w:bookmarkStart w:id="78" w:name="certificação-isoiec-420062025-e-prontidã"/>
      <w:r>
        <w:rPr/>
        <w:t>29. Certificação, ISO/IEC 42006:2025 e prontidão para auditoria</w:t>
      </w:r>
      <w:bookmarkEnd w:id="78"/>
    </w:p>
    <w:p>
      <w:pPr>
        <w:pStyle w:val="Firstparagraph"/>
        <w:bidi w:val="0"/>
        <w:rPr>
          <w:i/>
          <w:iCs/>
        </w:rPr>
      </w:pPr>
      <w:r>
        <w:rPr>
          <w:i/>
          <w:iCs/>
        </w:rPr>
        <w:t>A certificação avalia o SGIA em relação à ISO/IEC 42001 dentro de um escopo definido; a ISO/IEC 42006:2025 fortalece requisitos para organismos de certificação.</w:t>
      </w:r>
    </w:p>
    <w:p>
      <w:pPr>
        <w:pStyle w:val="Heading2"/>
        <w:tabs>
          <w:tab w:val="clear" w:pos="709"/>
          <w:tab w:val="left" w:pos="0" w:leader="none"/>
        </w:tabs>
        <w:bidi w:val="0"/>
        <w:ind w:hanging="0" w:start="0"/>
        <w:jc w:val="left"/>
        <w:rPr/>
        <w:keepNext/>
      </w:pPr>
      <w:bookmarkStart w:id="79" w:name="caminho-de-certificação"/>
      <w:r>
        <w:rPr/>
        <w:t>29.1 Caminho de certificação</w:t>
      </w:r>
      <w:bookmarkEnd w:id="79"/>
    </w:p>
    <w:p>
      <w:pPr>
        <w:pStyle w:val="BodyText"/>
        <w:numPr>
          <w:ilvl w:val="0"/>
          <w:numId w:val="44"/>
        </w:numPr>
        <w:bidi w:val="0"/>
        <w:spacing w:before="0" w:after="0"/>
        <w:rPr/>
      </w:pPr>
      <w:r>
        <w:rPr/>
        <w:t>Selecione organismo de certificação competente e verifique acreditação/status, esquema, geografia, competência, imparcialidade, capacidade de escopo e contrato.</w:t>
      </w:r>
    </w:p>
    <w:p>
      <w:pPr>
        <w:pStyle w:val="BodyText"/>
        <w:numPr>
          <w:ilvl w:val="0"/>
          <w:numId w:val="44"/>
        </w:numPr>
        <w:bidi w:val="0"/>
        <w:spacing w:before="0" w:after="0"/>
        <w:rPr/>
      </w:pPr>
      <w:r>
        <w:rPr/>
        <w:t>Solicitação e planejamento: organização, escopo do SGIA, papéis, locais, pessoas, sistemas, complexidade, processos terceirizados, normas e tempo de auditoria.</w:t>
      </w:r>
    </w:p>
    <w:p>
      <w:pPr>
        <w:pStyle w:val="BodyText"/>
        <w:numPr>
          <w:ilvl w:val="0"/>
          <w:numId w:val="44"/>
        </w:numPr>
        <w:bidi w:val="0"/>
        <w:spacing w:before="0" w:after="0"/>
        <w:rPr/>
      </w:pPr>
      <w:r>
        <w:rPr/>
        <w:t>Estágio 1: prontidão, escopo, sistema documentado, contexto, métodos de risco/impacto, Declaração de Aplicabilidade, auditoria interna, análise crítica pela direção e preparação para Estágio 2.</w:t>
      </w:r>
    </w:p>
    <w:p>
      <w:pPr>
        <w:pStyle w:val="BodyText"/>
        <w:numPr>
          <w:ilvl w:val="0"/>
          <w:numId w:val="44"/>
        </w:numPr>
        <w:bidi w:val="0"/>
        <w:spacing w:before="0" w:after="0"/>
        <w:rPr/>
      </w:pPr>
      <w:r>
        <w:rPr/>
        <w:t>Estágio 2: implementação e eficácia operacional por entrevistas, amostras, registros, observação e rastreamento.</w:t>
      </w:r>
    </w:p>
    <w:p>
      <w:pPr>
        <w:pStyle w:val="BodyText"/>
        <w:numPr>
          <w:ilvl w:val="0"/>
          <w:numId w:val="44"/>
        </w:numPr>
        <w:bidi w:val="0"/>
        <w:spacing w:before="0" w:after="0"/>
        <w:rPr/>
      </w:pPr>
      <w:r>
        <w:rPr/>
        <w:t>Resolva não conformidades com correção, causa, ação corretiva e evidência de eficácia conforme regras do esquema.</w:t>
      </w:r>
    </w:p>
    <w:p>
      <w:pPr>
        <w:pStyle w:val="BodyText"/>
        <w:numPr>
          <w:ilvl w:val="0"/>
          <w:numId w:val="44"/>
        </w:numPr>
        <w:bidi w:val="0"/>
        <w:spacing w:before="0" w:after="0"/>
        <w:rPr/>
      </w:pPr>
      <w:r>
        <w:rPr/>
        <w:t>Decisão de certificação, certificado, auditorias de supervisão, mudanças de escopo, recertificação, suspensão/retirada e melhoria contínua.</w:t>
      </w:r>
    </w:p>
    <w:p>
      <w:pPr>
        <w:pStyle w:val="Heading2"/>
        <w:tabs>
          <w:tab w:val="clear" w:pos="709"/>
          <w:tab w:val="left" w:pos="0" w:leader="none"/>
        </w:tabs>
        <w:bidi w:val="0"/>
        <w:ind w:hanging="0" w:start="0"/>
        <w:jc w:val="left"/>
        <w:rPr/>
        <w:keepNext/>
      </w:pPr>
      <w:bookmarkStart w:id="80" w:name="importância-da-isoiec-420062025"/>
      <w:r>
        <w:rPr/>
        <w:t>29.2 Importância da ISO/IEC 42006:2025</w:t>
      </w:r>
      <w:bookmarkEnd w:id="80"/>
    </w:p>
    <w:p>
      <w:pPr>
        <w:pStyle w:val="BodyText"/>
        <w:numPr>
          <w:ilvl w:val="0"/>
          <w:numId w:val="45"/>
        </w:numPr>
        <w:bidi w:val="0"/>
        <w:spacing w:before="0" w:after="0"/>
        <w:rPr/>
      </w:pPr>
      <w:r>
        <w:rPr/>
        <w:t>Acrescenta requisitos específicos de SGIA para organismos que auditam e certificam em relação à ISO/IEC 42001 e se baseia na ISO/IEC 17021-1.</w:t>
      </w:r>
    </w:p>
    <w:p>
      <w:pPr>
        <w:pStyle w:val="BodyText"/>
        <w:numPr>
          <w:ilvl w:val="0"/>
          <w:numId w:val="45"/>
        </w:numPr>
        <w:bidi w:val="0"/>
        <w:spacing w:before="0" w:after="0"/>
        <w:rPr/>
      </w:pPr>
      <w:r>
        <w:rPr/>
        <w:t>Apoia competência apropriada, processos de auditoria consistentes, imparcialidade, tempo de auditoria e rigor para organizações que desenvolvem, fornecem ou usam sistemas de IA.</w:t>
      </w:r>
    </w:p>
    <w:p>
      <w:pPr>
        <w:pStyle w:val="BodyText"/>
        <w:numPr>
          <w:ilvl w:val="0"/>
          <w:numId w:val="45"/>
        </w:numPr>
        <w:bidi w:val="0"/>
        <w:spacing w:before="0" w:after="0"/>
        <w:rPr/>
      </w:pPr>
      <w:r>
        <w:rPr/>
        <w:t>A organização deve verificar que uma certificação alegada seja emitida sob esquema acreditado relevante e que escopo e status do certificado correspondam à alegação.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Pacote de evidências de auditoria</w:t>
            </w:r>
          </w:p>
        </w:tc>
        <w:tc>
          <w:tcPr>
            <w:tcW w:w="4680" w:type="dxa"/>
            <w:tcBorders/>
            <w:vAlign w:val="center"/>
            <w:shd w:fill="1F4E78"/>
          </w:tcPr>
          <w:p>
            <w:pPr>
              <w:pStyle w:val="TableHeading"/>
              <w:bidi w:val="0"/>
              <w:spacing w:before="0" w:after="40"/>
              <w:rPr>
                <w:b/>
                <w:bCs/>
              </w:rPr>
            </w:pPr>
            <w:r>
              <w:rPr>
                <w:b/>
                <w:bCs/>
                <w:sz w:val="19"/>
                <w:color w:val="FFFFFF"/>
              </w:rPr>
              <w:t>Exemplos</w:t>
            </w:r>
          </w:p>
        </w:tc>
      </w:tr>
      <w:tr>
        <w:trPr>
          <w:cantSplit/>
        </w:trPr>
        <w:tc>
          <w:tcPr>
            <w:tcW w:w="4680" w:type="dxa"/>
            <w:tcBorders/>
            <w:vAlign w:val="center"/>
          </w:tcPr>
          <w:p>
            <w:pPr>
              <w:pStyle w:val="TableContents"/>
              <w:suppressLineNumbers/>
              <w:bidi w:val="0"/>
              <w:spacing w:before="0" w:after="40"/>
              <w:ind w:hanging="0" w:start="43" w:end="43"/>
              <w:rPr/>
            </w:pPr>
            <w:r>
              <w:rPr>
                <w:sz w:val="19"/>
              </w:rPr>
              <w:t>Base</w:t>
            </w:r>
          </w:p>
        </w:tc>
        <w:tc>
          <w:tcPr>
            <w:tcW w:w="4680" w:type="dxa"/>
            <w:tcBorders/>
            <w:vAlign w:val="center"/>
          </w:tcPr>
          <w:p>
            <w:pPr>
              <w:pStyle w:val="TableContents"/>
              <w:suppressLineNumbers/>
              <w:bidi w:val="0"/>
              <w:spacing w:before="0" w:after="40"/>
              <w:ind w:hanging="0" w:start="43" w:end="43"/>
              <w:rPr/>
            </w:pPr>
            <w:r>
              <w:rPr>
                <w:sz w:val="19"/>
              </w:rPr>
              <w:t>Escopo, contexto, partes, política, mapa de processos, papéis e inventário</w:t>
            </w:r>
          </w:p>
        </w:tc>
      </w:tr>
      <w:tr>
        <w:trPr>
          <w:cantSplit/>
        </w:trPr>
        <w:tc>
          <w:tcPr>
            <w:tcW w:w="4680" w:type="dxa"/>
            <w:tcBorders/>
            <w:vAlign w:val="center"/>
          </w:tcPr>
          <w:p>
            <w:pPr>
              <w:pStyle w:val="TableContents"/>
              <w:suppressLineNumbers/>
              <w:bidi w:val="0"/>
              <w:spacing w:before="0" w:after="40"/>
              <w:ind w:hanging="0" w:start="43" w:end="43"/>
              <w:rPr/>
            </w:pPr>
            <w:r>
              <w:rPr>
                <w:sz w:val="19"/>
              </w:rPr>
              <w:t>Planejamento</w:t>
            </w:r>
          </w:p>
        </w:tc>
        <w:tc>
          <w:tcPr>
            <w:tcW w:w="4680" w:type="dxa"/>
            <w:tcBorders/>
            <w:vAlign w:val="center"/>
          </w:tcPr>
          <w:p>
            <w:pPr>
              <w:pStyle w:val="TableContents"/>
              <w:suppressLineNumbers/>
              <w:bidi w:val="0"/>
              <w:spacing w:before="0" w:after="40"/>
              <w:ind w:hanging="0" w:start="43" w:end="43"/>
              <w:rPr/>
            </w:pPr>
            <w:r>
              <w:rPr>
                <w:sz w:val="19"/>
              </w:rPr>
              <w:t>Método/resultados de risco, tratamento, Declaração de Aplicabilidade, processo/resultados de impacto, objetivos e mudanças</w:t>
            </w:r>
          </w:p>
        </w:tc>
      </w:tr>
      <w:tr>
        <w:trPr>
          <w:cantSplit/>
        </w:trPr>
        <w:tc>
          <w:tcPr>
            <w:tcW w:w="4680" w:type="dxa"/>
            <w:tcBorders/>
            <w:vAlign w:val="center"/>
          </w:tcPr>
          <w:p>
            <w:pPr>
              <w:pStyle w:val="TableContents"/>
              <w:suppressLineNumbers/>
              <w:bidi w:val="0"/>
              <w:spacing w:before="0" w:after="40"/>
              <w:ind w:hanging="0" w:start="43" w:end="43"/>
              <w:rPr/>
            </w:pPr>
            <w:r>
              <w:rPr>
                <w:sz w:val="19"/>
              </w:rPr>
              <w:t>Suporte/operação</w:t>
            </w:r>
          </w:p>
        </w:tc>
        <w:tc>
          <w:tcPr>
            <w:tcW w:w="4680" w:type="dxa"/>
            <w:tcBorders/>
            <w:vAlign w:val="center"/>
          </w:tcPr>
          <w:p>
            <w:pPr>
              <w:pStyle w:val="TableContents"/>
              <w:suppressLineNumbers/>
              <w:bidi w:val="0"/>
              <w:spacing w:before="0" w:after="40"/>
              <w:ind w:hanging="0" w:start="43" w:end="43"/>
              <w:rPr/>
            </w:pPr>
            <w:r>
              <w:rPr>
                <w:sz w:val="19"/>
              </w:rPr>
              <w:t>Recursos, competência, comunicação, documentos, ciclo de vida, dados, uso, fornecedores e incidentes</w:t>
            </w:r>
          </w:p>
        </w:tc>
      </w:tr>
      <w:tr>
        <w:trPr>
          <w:cantSplit/>
        </w:trPr>
        <w:tc>
          <w:tcPr>
            <w:tcW w:w="4680" w:type="dxa"/>
            <w:tcBorders/>
            <w:vAlign w:val="center"/>
          </w:tcPr>
          <w:p>
            <w:pPr>
              <w:pStyle w:val="TableContents"/>
              <w:suppressLineNumbers/>
              <w:bidi w:val="0"/>
              <w:spacing w:before="0" w:after="40"/>
              <w:ind w:hanging="0" w:start="43" w:end="43"/>
              <w:rPr/>
            </w:pPr>
            <w:r>
              <w:rPr>
                <w:sz w:val="19"/>
              </w:rPr>
              <w:t>Avaliação/melhoria</w:t>
            </w:r>
          </w:p>
        </w:tc>
        <w:tc>
          <w:tcPr>
            <w:tcW w:w="4680" w:type="dxa"/>
            <w:tcBorders/>
            <w:vAlign w:val="center"/>
          </w:tcPr>
          <w:p>
            <w:pPr>
              <w:pStyle w:val="TableContents"/>
              <w:suppressLineNumbers/>
              <w:bidi w:val="0"/>
              <w:spacing w:before="0" w:after="40"/>
              <w:ind w:hanging="0" w:start="43" w:end="43"/>
              <w:rPr/>
            </w:pPr>
            <w:r>
              <w:rPr>
                <w:sz w:val="19"/>
              </w:rPr>
              <w:t>Métricas, auditoria interna, análise crítica pela direção, constatações, ações corretivas e eficácia</w:t>
            </w:r>
          </w:p>
        </w:tc>
      </w:tr>
      <w:tr>
        <w:trPr>
          <w:cantSplit/>
        </w:trPr>
        <w:tc>
          <w:tcPr>
            <w:tcW w:w="4680" w:type="dxa"/>
            <w:tcBorders/>
            <w:vAlign w:val="center"/>
          </w:tcPr>
          <w:p>
            <w:pPr>
              <w:pStyle w:val="TableContents"/>
              <w:suppressLineNumbers/>
              <w:bidi w:val="0"/>
              <w:spacing w:before="0" w:after="40"/>
              <w:ind w:hanging="0" w:start="43" w:end="43"/>
              <w:rPr/>
            </w:pPr>
            <w:r>
              <w:rPr>
                <w:sz w:val="19"/>
              </w:rPr>
              <w:t>Amostras rastreáveis</w:t>
            </w:r>
          </w:p>
        </w:tc>
        <w:tc>
          <w:tcPr>
            <w:tcW w:w="4680" w:type="dxa"/>
            <w:tcBorders/>
            <w:vAlign w:val="center"/>
          </w:tcPr>
          <w:p>
            <w:pPr>
              <w:pStyle w:val="TableContents"/>
              <w:suppressLineNumbers/>
              <w:bidi w:val="0"/>
              <w:spacing w:before="0" w:after="40"/>
              <w:ind w:hanging="0" w:start="43" w:end="43"/>
              <w:rPr/>
            </w:pPr>
            <w:r>
              <w:rPr>
                <w:sz w:val="19"/>
              </w:rPr>
              <w:t>Registros ponta a ponta de sistemas de IA representativos de risco alto/médio/baixo e mudanças materiais</w:t>
            </w:r>
          </w:p>
        </w:tc>
      </w:tr>
    </w:tbl>
    <w:p>
      <w:pPr>
        <w:pStyle w:val="Heading2"/>
        <w:tabs>
          <w:tab w:val="clear" w:pos="709"/>
          <w:tab w:val="left" w:pos="0" w:leader="none"/>
        </w:tabs>
        <w:bidi w:val="0"/>
        <w:ind w:hanging="0" w:start="0"/>
        <w:jc w:val="left"/>
        <w:rPr/>
        <w:keepNext/>
      </w:pPr>
      <w:bookmarkStart w:id="81" w:name="prontidão-para-auditoria-sem-teatro"/>
      <w:r>
        <w:rPr/>
        <w:t>29.3 Prontidão para auditoria sem teatro</w:t>
      </w:r>
      <w:bookmarkEnd w:id="81"/>
    </w:p>
    <w:p>
      <w:pPr>
        <w:pStyle w:val="BodyText"/>
        <w:numPr>
          <w:ilvl w:val="0"/>
          <w:numId w:val="46"/>
        </w:numPr>
        <w:bidi w:val="0"/>
        <w:spacing w:before="0" w:after="0"/>
        <w:rPr/>
      </w:pPr>
      <w:r>
        <w:rPr/>
        <w:t>Opere controles tempo suficiente para produzir evidências honestas; não crie registros depois do fato.</w:t>
      </w:r>
    </w:p>
    <w:p>
      <w:pPr>
        <w:pStyle w:val="BodyText"/>
        <w:numPr>
          <w:ilvl w:val="0"/>
          <w:numId w:val="46"/>
        </w:numPr>
        <w:bidi w:val="0"/>
        <w:spacing w:before="0" w:after="0"/>
        <w:rPr/>
      </w:pPr>
      <w:r>
        <w:rPr/>
        <w:t>Reconcilie escopo, inventário, risco, impacto, Declaração de Aplicabilidade, fornecedor, versões do sistema, métricas, auditoria e análise crítica pela direção.</w:t>
      </w:r>
    </w:p>
    <w:p>
      <w:pPr>
        <w:pStyle w:val="BodyText"/>
        <w:numPr>
          <w:ilvl w:val="0"/>
          <w:numId w:val="46"/>
        </w:numPr>
        <w:bidi w:val="0"/>
        <w:spacing w:before="0" w:after="0"/>
        <w:rPr/>
      </w:pPr>
      <w:r>
        <w:rPr/>
        <w:t>Prepare entrevistados para explicar o trabalho real e mostrar evidências, não memorizar respostas.</w:t>
      </w:r>
    </w:p>
    <w:p>
      <w:pPr>
        <w:pStyle w:val="BodyText"/>
        <w:numPr>
          <w:ilvl w:val="0"/>
          <w:numId w:val="46"/>
        </w:numPr>
        <w:bidi w:val="0"/>
        <w:spacing w:before="0" w:after="0"/>
        <w:rPr/>
      </w:pPr>
      <w:r>
        <w:rPr/>
        <w:t>Divulgue com precisão lacunas, riscos aceitos, limitações, incidentes e ações corretivas.</w:t>
      </w:r>
    </w:p>
    <w:p>
      <w:pPr>
        <w:pStyle w:val="Heading1"/>
        <w:tabs>
          <w:tab w:val="clear" w:pos="709"/>
          <w:tab w:val="left" w:pos="0" w:leader="none"/>
        </w:tabs>
        <w:bidi w:val="0"/>
        <w:ind w:hanging="0" w:start="0"/>
        <w:jc w:val="left"/>
        <w:rPr/>
        <w:keepNext/>
      </w:pPr>
      <w:bookmarkStart w:id="82" w:name="ferramentas-de-código-aberto-para-evidên"/>
      <w:r>
        <w:rPr/>
        <w:t>30. Ferramentas de código aberto para evidências do SGIA e asseguração de IA</w:t>
      </w:r>
      <w:bookmarkEnd w:id="82"/>
    </w:p>
    <w:p>
      <w:pPr>
        <w:pStyle w:val="Firstparagraph"/>
        <w:bidi w:val="0"/>
        <w:rPr>
          <w:i/>
          <w:iCs/>
        </w:rPr>
      </w:pPr>
      <w:r>
        <w:rPr>
          <w:i/>
          <w:iCs/>
        </w:rPr>
        <w:t>Ferramentas de código aberto podem apoiar rastreabilidade, avaliação, monitoramento, políticas, privacidade e constatações, mas não decidem conformidade com ISO.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Ferramenta</w:t>
            </w:r>
          </w:p>
        </w:tc>
        <w:tc>
          <w:tcPr>
            <w:tcW w:w="4680" w:type="dxa"/>
            <w:tcBorders/>
            <w:vAlign w:val="center"/>
            <w:shd w:fill="1F4E78"/>
          </w:tcPr>
          <w:p>
            <w:pPr>
              <w:pStyle w:val="TableHeading"/>
              <w:bidi w:val="0"/>
              <w:spacing w:before="0" w:after="40"/>
              <w:rPr>
                <w:b/>
                <w:bCs/>
              </w:rPr>
            </w:pPr>
            <w:r>
              <w:rPr>
                <w:b/>
                <w:bCs/>
                <w:sz w:val="19"/>
                <w:color w:val="FFFFFF"/>
              </w:rPr>
              <w:t>Finalidade</w:t>
            </w:r>
          </w:p>
        </w:tc>
      </w:tr>
      <w:tr>
        <w:trPr>
          <w:cantSplit/>
        </w:trPr>
        <w:tc>
          <w:tcPr>
            <w:tcW w:w="4680" w:type="dxa"/>
            <w:tcBorders/>
            <w:vAlign w:val="center"/>
          </w:tcPr>
          <w:p>
            <w:pPr>
              <w:pStyle w:val="TableContents"/>
              <w:suppressLineNumbers/>
              <w:bidi w:val="0"/>
              <w:spacing w:before="0" w:after="40"/>
              <w:ind w:hanging="0" w:start="43" w:end="43"/>
              <w:rPr/>
            </w:pPr>
            <w:r>
              <w:rPr>
                <w:sz w:val="19"/>
              </w:rPr>
              <w:t>MLflow</w:t>
            </w:r>
          </w:p>
        </w:tc>
        <w:tc>
          <w:tcPr>
            <w:tcW w:w="4680" w:type="dxa"/>
            <w:tcBorders/>
            <w:vAlign w:val="center"/>
          </w:tcPr>
          <w:p>
            <w:pPr>
              <w:pStyle w:val="TableContents"/>
              <w:suppressLineNumbers/>
              <w:bidi w:val="0"/>
              <w:spacing w:before="0" w:after="40"/>
              <w:ind w:hanging="0" w:start="43" w:end="43"/>
              <w:rPr/>
            </w:pPr>
            <w:r>
              <w:rPr>
                <w:sz w:val="19"/>
              </w:rPr>
              <w:t>Rastreamento de experimentos, registro de modelos, linhagem, aprovação e registros de implantação</w:t>
            </w:r>
          </w:p>
        </w:tc>
      </w:tr>
      <w:tr>
        <w:trPr>
          <w:cantSplit/>
        </w:trPr>
        <w:tc>
          <w:tcPr>
            <w:tcW w:w="4680" w:type="dxa"/>
            <w:tcBorders/>
            <w:vAlign w:val="center"/>
          </w:tcPr>
          <w:p>
            <w:pPr>
              <w:pStyle w:val="TableContents"/>
              <w:suppressLineNumbers/>
              <w:bidi w:val="0"/>
              <w:spacing w:before="0" w:after="40"/>
              <w:ind w:hanging="0" w:start="43" w:end="43"/>
              <w:rPr/>
            </w:pPr>
            <w:r>
              <w:rPr>
                <w:sz w:val="19"/>
              </w:rPr>
              <w:t>DVC</w:t>
            </w:r>
          </w:p>
        </w:tc>
        <w:tc>
          <w:tcPr>
            <w:tcW w:w="4680" w:type="dxa"/>
            <w:tcBorders/>
            <w:vAlign w:val="center"/>
          </w:tcPr>
          <w:p>
            <w:pPr>
              <w:pStyle w:val="TableContents"/>
              <w:suppressLineNumbers/>
              <w:bidi w:val="0"/>
              <w:spacing w:before="0" w:after="40"/>
              <w:ind w:hanging="0" w:start="43" w:end="43"/>
              <w:rPr/>
            </w:pPr>
            <w:r>
              <w:rPr>
                <w:sz w:val="19"/>
              </w:rPr>
              <w:t>Controle de versões para dados, modelos e pipelines</w:t>
            </w:r>
          </w:p>
        </w:tc>
      </w:tr>
      <w:tr>
        <w:trPr>
          <w:cantSplit/>
        </w:trPr>
        <w:tc>
          <w:tcPr>
            <w:tcW w:w="4680" w:type="dxa"/>
            <w:tcBorders/>
            <w:vAlign w:val="center"/>
          </w:tcPr>
          <w:p>
            <w:pPr>
              <w:pStyle w:val="TableContents"/>
              <w:suppressLineNumbers/>
              <w:bidi w:val="0"/>
              <w:spacing w:before="0" w:after="40"/>
              <w:ind w:hanging="0" w:start="43" w:end="43"/>
              <w:rPr/>
            </w:pPr>
            <w:r>
              <w:rPr>
                <w:sz w:val="19"/>
              </w:rPr>
              <w:t>OpenLineage</w:t>
            </w:r>
          </w:p>
        </w:tc>
        <w:tc>
          <w:tcPr>
            <w:tcW w:w="4680" w:type="dxa"/>
            <w:tcBorders/>
            <w:vAlign w:val="center"/>
          </w:tcPr>
          <w:p>
            <w:pPr>
              <w:pStyle w:val="TableContents"/>
              <w:suppressLineNumbers/>
              <w:bidi w:val="0"/>
              <w:spacing w:before="0" w:after="40"/>
              <w:ind w:hanging="0" w:start="43" w:end="43"/>
              <w:rPr/>
            </w:pPr>
            <w:r>
              <w:rPr>
                <w:sz w:val="19"/>
              </w:rPr>
              <w:t>Padrão aberto e ferramentas para eventos de linhagem de dados/trabalhos</w:t>
            </w:r>
          </w:p>
        </w:tc>
      </w:tr>
      <w:tr>
        <w:trPr>
          <w:cantSplit/>
        </w:trPr>
        <w:tc>
          <w:tcPr>
            <w:tcW w:w="4680" w:type="dxa"/>
            <w:tcBorders/>
            <w:vAlign w:val="center"/>
          </w:tcPr>
          <w:p>
            <w:pPr>
              <w:pStyle w:val="TableContents"/>
              <w:suppressLineNumbers/>
              <w:bidi w:val="0"/>
              <w:spacing w:before="0" w:after="40"/>
              <w:ind w:hanging="0" w:start="43" w:end="43"/>
              <w:rPr/>
            </w:pPr>
            <w:r>
              <w:rPr>
                <w:sz w:val="19"/>
              </w:rPr>
              <w:t>OpenMetadata</w:t>
            </w:r>
          </w:p>
        </w:tc>
        <w:tc>
          <w:tcPr>
            <w:tcW w:w="4680" w:type="dxa"/>
            <w:tcBorders/>
            <w:vAlign w:val="center"/>
          </w:tcPr>
          <w:p>
            <w:pPr>
              <w:pStyle w:val="TableContents"/>
              <w:suppressLineNumbers/>
              <w:bidi w:val="0"/>
              <w:spacing w:before="0" w:after="40"/>
              <w:ind w:hanging="0" w:start="43" w:end="43"/>
              <w:rPr/>
            </w:pPr>
            <w:r>
              <w:rPr>
                <w:sz w:val="19"/>
              </w:rPr>
              <w:t>Catálogo de dados, linhagem, propriedade, glossário e metadados de qualidade</w:t>
            </w:r>
          </w:p>
        </w:tc>
      </w:tr>
      <w:tr>
        <w:trPr>
          <w:cantSplit/>
        </w:trPr>
        <w:tc>
          <w:tcPr>
            <w:tcW w:w="4680" w:type="dxa"/>
            <w:tcBorders/>
            <w:vAlign w:val="center"/>
          </w:tcPr>
          <w:p>
            <w:pPr>
              <w:pStyle w:val="TableContents"/>
              <w:suppressLineNumbers/>
              <w:bidi w:val="0"/>
              <w:spacing w:before="0" w:after="40"/>
              <w:ind w:hanging="0" w:start="43" w:end="43"/>
              <w:rPr/>
            </w:pPr>
            <w:r>
              <w:rPr>
                <w:sz w:val="19"/>
              </w:rPr>
              <w:t>Great Expectations</w:t>
            </w:r>
          </w:p>
        </w:tc>
        <w:tc>
          <w:tcPr>
            <w:tcW w:w="4680" w:type="dxa"/>
            <w:tcBorders/>
            <w:vAlign w:val="center"/>
          </w:tcPr>
          <w:p>
            <w:pPr>
              <w:pStyle w:val="TableContents"/>
              <w:suppressLineNumbers/>
              <w:bidi w:val="0"/>
              <w:spacing w:before="0" w:after="40"/>
              <w:ind w:hanging="0" w:start="43" w:end="43"/>
              <w:rPr/>
            </w:pPr>
            <w:r>
              <w:rPr>
                <w:sz w:val="19"/>
              </w:rPr>
              <w:t>Expectativas automatizadas de qualidade de dados e resultados de validação</w:t>
            </w:r>
          </w:p>
        </w:tc>
      </w:tr>
      <w:tr>
        <w:trPr>
          <w:cantSplit/>
        </w:trPr>
        <w:tc>
          <w:tcPr>
            <w:tcW w:w="4680" w:type="dxa"/>
            <w:tcBorders/>
            <w:vAlign w:val="center"/>
          </w:tcPr>
          <w:p>
            <w:pPr>
              <w:pStyle w:val="TableContents"/>
              <w:suppressLineNumbers/>
              <w:bidi w:val="0"/>
              <w:spacing w:before="0" w:after="40"/>
              <w:ind w:hanging="0" w:start="43" w:end="43"/>
              <w:rPr/>
            </w:pPr>
            <w:r>
              <w:rPr>
                <w:sz w:val="19"/>
              </w:rPr>
              <w:t>Evidently</w:t>
            </w:r>
          </w:p>
        </w:tc>
        <w:tc>
          <w:tcPr>
            <w:tcW w:w="4680" w:type="dxa"/>
            <w:tcBorders/>
            <w:vAlign w:val="center"/>
          </w:tcPr>
          <w:p>
            <w:pPr>
              <w:pStyle w:val="TableContents"/>
              <w:suppressLineNumbers/>
              <w:bidi w:val="0"/>
              <w:spacing w:before="0" w:after="40"/>
              <w:ind w:hanging="0" w:start="43" w:end="43"/>
              <w:rPr/>
            </w:pPr>
            <w:r>
              <w:rPr>
                <w:sz w:val="19"/>
              </w:rPr>
              <w:t>Qualidade de dados, drift, desempenho de modelos e relatórios de monitoramento</w:t>
            </w:r>
          </w:p>
        </w:tc>
      </w:tr>
      <w:tr>
        <w:trPr>
          <w:cantSplit/>
        </w:trPr>
        <w:tc>
          <w:tcPr>
            <w:tcW w:w="4680" w:type="dxa"/>
            <w:tcBorders/>
            <w:vAlign w:val="center"/>
          </w:tcPr>
          <w:p>
            <w:pPr>
              <w:pStyle w:val="TableContents"/>
              <w:suppressLineNumbers/>
              <w:bidi w:val="0"/>
              <w:spacing w:before="0" w:after="40"/>
              <w:ind w:hanging="0" w:start="43" w:end="43"/>
              <w:rPr/>
            </w:pPr>
            <w:r>
              <w:rPr>
                <w:sz w:val="19"/>
              </w:rPr>
              <w:t>Deepchecks</w:t>
            </w:r>
          </w:p>
        </w:tc>
        <w:tc>
          <w:tcPr>
            <w:tcW w:w="4680" w:type="dxa"/>
            <w:tcBorders/>
            <w:vAlign w:val="center"/>
          </w:tcPr>
          <w:p>
            <w:pPr>
              <w:pStyle w:val="TableContents"/>
              <w:suppressLineNumbers/>
              <w:bidi w:val="0"/>
              <w:spacing w:before="0" w:after="40"/>
              <w:ind w:hanging="0" w:start="43" w:end="43"/>
              <w:rPr/>
            </w:pPr>
            <w:r>
              <w:rPr>
                <w:sz w:val="19"/>
              </w:rPr>
              <w:t>Testes de dados, modelos de ML e aplicações LLM</w:t>
            </w:r>
          </w:p>
        </w:tc>
      </w:tr>
      <w:tr>
        <w:trPr>
          <w:cantSplit/>
        </w:trPr>
        <w:tc>
          <w:tcPr>
            <w:tcW w:w="4680" w:type="dxa"/>
            <w:tcBorders/>
            <w:vAlign w:val="center"/>
          </w:tcPr>
          <w:p>
            <w:pPr>
              <w:pStyle w:val="TableContents"/>
              <w:suppressLineNumbers/>
              <w:bidi w:val="0"/>
              <w:spacing w:before="0" w:after="40"/>
              <w:ind w:hanging="0" w:start="43" w:end="43"/>
              <w:rPr/>
            </w:pPr>
            <w:r>
              <w:rPr>
                <w:sz w:val="19"/>
              </w:rPr>
              <w:t>Giskard</w:t>
            </w:r>
          </w:p>
        </w:tc>
        <w:tc>
          <w:tcPr>
            <w:tcW w:w="4680" w:type="dxa"/>
            <w:tcBorders/>
            <w:vAlign w:val="center"/>
          </w:tcPr>
          <w:p>
            <w:pPr>
              <w:pStyle w:val="TableContents"/>
              <w:suppressLineNumbers/>
              <w:bidi w:val="0"/>
              <w:spacing w:before="0" w:after="40"/>
              <w:ind w:hanging="0" w:start="43" w:end="43"/>
              <w:rPr/>
            </w:pPr>
            <w:r>
              <w:rPr>
                <w:sz w:val="19"/>
              </w:rPr>
              <w:t>Testes de IA e varredura de vulnerabilidades</w:t>
            </w:r>
          </w:p>
        </w:tc>
      </w:tr>
      <w:tr>
        <w:trPr>
          <w:cantSplit/>
        </w:trPr>
        <w:tc>
          <w:tcPr>
            <w:tcW w:w="4680" w:type="dxa"/>
            <w:tcBorders/>
            <w:vAlign w:val="center"/>
          </w:tcPr>
          <w:p>
            <w:pPr>
              <w:pStyle w:val="TableContents"/>
              <w:suppressLineNumbers/>
              <w:bidi w:val="0"/>
              <w:spacing w:before="0" w:after="40"/>
              <w:ind w:hanging="0" w:start="43" w:end="43"/>
              <w:rPr/>
            </w:pPr>
            <w:r>
              <w:rPr>
                <w:sz w:val="19"/>
              </w:rPr>
              <w:t>Promptfoo</w:t>
            </w:r>
          </w:p>
        </w:tc>
        <w:tc>
          <w:tcPr>
            <w:tcW w:w="4680" w:type="dxa"/>
            <w:tcBorders/>
            <w:vAlign w:val="center"/>
          </w:tcPr>
          <w:p>
            <w:pPr>
              <w:pStyle w:val="TableContents"/>
              <w:suppressLineNumbers/>
              <w:bidi w:val="0"/>
              <w:spacing w:before="0" w:after="40"/>
              <w:ind w:hanging="0" w:start="43" w:end="43"/>
              <w:rPr/>
            </w:pPr>
            <w:r>
              <w:rPr>
                <w:sz w:val="19"/>
              </w:rPr>
              <w:t>Avaliações de prompts, modelos, RAG e red teaming</w:t>
            </w:r>
          </w:p>
        </w:tc>
      </w:tr>
      <w:tr>
        <w:trPr>
          <w:cantSplit/>
        </w:trPr>
        <w:tc>
          <w:tcPr>
            <w:tcW w:w="4680" w:type="dxa"/>
            <w:tcBorders/>
            <w:vAlign w:val="center"/>
          </w:tcPr>
          <w:p>
            <w:pPr>
              <w:pStyle w:val="TableContents"/>
              <w:suppressLineNumbers/>
              <w:bidi w:val="0"/>
              <w:spacing w:before="0" w:after="40"/>
              <w:ind w:hanging="0" w:start="43" w:end="43"/>
              <w:rPr/>
            </w:pPr>
            <w:r>
              <w:rPr>
                <w:sz w:val="19"/>
              </w:rPr>
              <w:t>Garak</w:t>
            </w:r>
          </w:p>
        </w:tc>
        <w:tc>
          <w:tcPr>
            <w:tcW w:w="4680" w:type="dxa"/>
            <w:tcBorders/>
            <w:vAlign w:val="center"/>
          </w:tcPr>
          <w:p>
            <w:pPr>
              <w:pStyle w:val="TableContents"/>
              <w:suppressLineNumbers/>
              <w:bidi w:val="0"/>
              <w:spacing w:before="0" w:after="40"/>
              <w:ind w:hanging="0" w:start="43" w:end="43"/>
              <w:rPr/>
            </w:pPr>
            <w:r>
              <w:rPr>
                <w:sz w:val="19"/>
              </w:rPr>
              <w:t>Varredura e sondas de vulnerabilidades de LLM</w:t>
            </w:r>
          </w:p>
        </w:tc>
      </w:tr>
      <w:tr>
        <w:trPr>
          <w:cantSplit/>
        </w:trPr>
        <w:tc>
          <w:tcPr>
            <w:tcW w:w="4680" w:type="dxa"/>
            <w:tcBorders/>
            <w:vAlign w:val="center"/>
          </w:tcPr>
          <w:p>
            <w:pPr>
              <w:pStyle w:val="TableContents"/>
              <w:suppressLineNumbers/>
              <w:bidi w:val="0"/>
              <w:spacing w:before="0" w:after="40"/>
              <w:ind w:hanging="0" w:start="43" w:end="43"/>
              <w:rPr/>
            </w:pPr>
            <w:r>
              <w:rPr>
                <w:sz w:val="19"/>
              </w:rPr>
              <w:t>PyRIT</w:t>
            </w:r>
          </w:p>
        </w:tc>
        <w:tc>
          <w:tcPr>
            <w:tcW w:w="4680" w:type="dxa"/>
            <w:tcBorders/>
            <w:vAlign w:val="center"/>
          </w:tcPr>
          <w:p>
            <w:pPr>
              <w:pStyle w:val="TableContents"/>
              <w:suppressLineNumbers/>
              <w:bidi w:val="0"/>
              <w:spacing w:before="0" w:after="40"/>
              <w:ind w:hanging="0" w:start="43" w:end="43"/>
              <w:rPr/>
            </w:pPr>
            <w:r>
              <w:rPr>
                <w:sz w:val="19"/>
              </w:rPr>
              <w:t>Identificação de riscos e orquestração de red teaming para IA generativa</w:t>
            </w:r>
          </w:p>
        </w:tc>
      </w:tr>
      <w:tr>
        <w:trPr>
          <w:cantSplit/>
        </w:trPr>
        <w:tc>
          <w:tcPr>
            <w:tcW w:w="4680" w:type="dxa"/>
            <w:tcBorders/>
            <w:vAlign w:val="center"/>
          </w:tcPr>
          <w:p>
            <w:pPr>
              <w:pStyle w:val="TableContents"/>
              <w:suppressLineNumbers/>
              <w:bidi w:val="0"/>
              <w:spacing w:before="0" w:after="40"/>
              <w:ind w:hanging="0" w:start="43" w:end="43"/>
              <w:rPr/>
            </w:pPr>
            <w:r>
              <w:rPr>
                <w:sz w:val="19"/>
              </w:rPr>
              <w:t>Inspect AI</w:t>
            </w:r>
          </w:p>
        </w:tc>
        <w:tc>
          <w:tcPr>
            <w:tcW w:w="4680" w:type="dxa"/>
            <w:tcBorders/>
            <w:vAlign w:val="center"/>
          </w:tcPr>
          <w:p>
            <w:pPr>
              <w:pStyle w:val="TableContents"/>
              <w:suppressLineNumbers/>
              <w:bidi w:val="0"/>
              <w:spacing w:before="0" w:after="40"/>
              <w:ind w:hanging="0" w:start="43" w:end="43"/>
              <w:rPr/>
            </w:pPr>
            <w:r>
              <w:rPr>
                <w:sz w:val="19"/>
              </w:rPr>
              <w:t>Avaliações reproduzíveis de IA</w:t>
            </w:r>
          </w:p>
        </w:tc>
      </w:tr>
      <w:tr>
        <w:trPr>
          <w:cantSplit/>
        </w:trPr>
        <w:tc>
          <w:tcPr>
            <w:tcW w:w="4680" w:type="dxa"/>
            <w:tcBorders/>
            <w:vAlign w:val="center"/>
          </w:tcPr>
          <w:p>
            <w:pPr>
              <w:pStyle w:val="TableContents"/>
              <w:suppressLineNumbers/>
              <w:bidi w:val="0"/>
              <w:spacing w:before="0" w:after="40"/>
              <w:ind w:hanging="0" w:start="43" w:end="43"/>
              <w:rPr/>
            </w:pPr>
            <w:r>
              <w:rPr>
                <w:sz w:val="19"/>
              </w:rPr>
              <w:t>Presidio</w:t>
            </w:r>
          </w:p>
        </w:tc>
        <w:tc>
          <w:tcPr>
            <w:tcW w:w="4680" w:type="dxa"/>
            <w:tcBorders/>
            <w:vAlign w:val="center"/>
          </w:tcPr>
          <w:p>
            <w:pPr>
              <w:pStyle w:val="TableContents"/>
              <w:suppressLineNumbers/>
              <w:bidi w:val="0"/>
              <w:spacing w:before="0" w:after="40"/>
              <w:ind w:hanging="0" w:start="43" w:end="43"/>
              <w:rPr/>
            </w:pPr>
            <w:r>
              <w:rPr>
                <w:sz w:val="19"/>
              </w:rPr>
              <w:t>Detecção e desidentificação de informações pessoais</w:t>
            </w:r>
          </w:p>
        </w:tc>
      </w:tr>
      <w:tr>
        <w:trPr>
          <w:cantSplit/>
        </w:trPr>
        <w:tc>
          <w:tcPr>
            <w:tcW w:w="4680" w:type="dxa"/>
            <w:tcBorders/>
            <w:vAlign w:val="center"/>
          </w:tcPr>
          <w:p>
            <w:pPr>
              <w:pStyle w:val="TableContents"/>
              <w:suppressLineNumbers/>
              <w:bidi w:val="0"/>
              <w:spacing w:before="0" w:after="40"/>
              <w:ind w:hanging="0" w:start="43" w:end="43"/>
              <w:rPr/>
            </w:pPr>
            <w:r>
              <w:rPr>
                <w:sz w:val="19"/>
              </w:rPr>
              <w:t>ModelScan</w:t>
            </w:r>
          </w:p>
        </w:tc>
        <w:tc>
          <w:tcPr>
            <w:tcW w:w="4680" w:type="dxa"/>
            <w:tcBorders/>
            <w:vAlign w:val="center"/>
          </w:tcPr>
          <w:p>
            <w:pPr>
              <w:pStyle w:val="TableContents"/>
              <w:suppressLineNumbers/>
              <w:bidi w:val="0"/>
              <w:spacing w:before="0" w:after="40"/>
              <w:ind w:hanging="0" w:start="43" w:end="43"/>
              <w:rPr/>
            </w:pPr>
            <w:r>
              <w:rPr>
                <w:sz w:val="19"/>
              </w:rPr>
              <w:t>Varredura estática de arquivos de modelos serializados</w:t>
            </w:r>
          </w:p>
        </w:tc>
      </w:tr>
      <w:tr>
        <w:trPr>
          <w:cantSplit/>
        </w:trPr>
        <w:tc>
          <w:tcPr>
            <w:tcW w:w="4680" w:type="dxa"/>
            <w:tcBorders/>
            <w:vAlign w:val="center"/>
          </w:tcPr>
          <w:p>
            <w:pPr>
              <w:pStyle w:val="TableContents"/>
              <w:suppressLineNumbers/>
              <w:bidi w:val="0"/>
              <w:spacing w:before="0" w:after="40"/>
              <w:ind w:hanging="0" w:start="43" w:end="43"/>
              <w:rPr/>
            </w:pPr>
            <w:r>
              <w:rPr>
                <w:sz w:val="19"/>
              </w:rPr>
              <w:t>CycloneDX</w:t>
            </w:r>
          </w:p>
        </w:tc>
        <w:tc>
          <w:tcPr>
            <w:tcW w:w="4680" w:type="dxa"/>
            <w:tcBorders/>
            <w:vAlign w:val="center"/>
          </w:tcPr>
          <w:p>
            <w:pPr>
              <w:pStyle w:val="TableContents"/>
              <w:suppressLineNumbers/>
              <w:bidi w:val="0"/>
              <w:spacing w:before="0" w:after="40"/>
              <w:ind w:hanging="0" w:start="43" w:end="43"/>
              <w:rPr/>
            </w:pPr>
            <w:r>
              <w:rPr>
                <w:sz w:val="19"/>
              </w:rPr>
              <w:t>Formatos e ferramentas de lista de materiais de software, ML e IA</w:t>
            </w:r>
          </w:p>
        </w:tc>
      </w:tr>
      <w:tr>
        <w:trPr>
          <w:cantSplit/>
        </w:trPr>
        <w:tc>
          <w:tcPr>
            <w:tcW w:w="4680" w:type="dxa"/>
            <w:tcBorders/>
            <w:vAlign w:val="center"/>
          </w:tcPr>
          <w:p>
            <w:pPr>
              <w:pStyle w:val="TableContents"/>
              <w:suppressLineNumbers/>
              <w:bidi w:val="0"/>
              <w:spacing w:before="0" w:after="40"/>
              <w:ind w:hanging="0" w:start="43" w:end="43"/>
              <w:rPr/>
            </w:pPr>
            <w:r>
              <w:rPr>
                <w:sz w:val="19"/>
              </w:rPr>
              <w:t>Open Policy Agent</w:t>
            </w:r>
          </w:p>
        </w:tc>
        <w:tc>
          <w:tcPr>
            <w:tcW w:w="4680" w:type="dxa"/>
            <w:tcBorders/>
            <w:vAlign w:val="center"/>
          </w:tcPr>
          <w:p>
            <w:pPr>
              <w:pStyle w:val="TableContents"/>
              <w:suppressLineNumbers/>
              <w:bidi w:val="0"/>
              <w:spacing w:before="0" w:after="40"/>
              <w:ind w:hanging="0" w:start="43" w:end="43"/>
              <w:rPr/>
            </w:pPr>
            <w:r>
              <w:rPr>
                <w:sz w:val="19"/>
              </w:rPr>
              <w:t>Decisões de política como código</w:t>
            </w:r>
          </w:p>
        </w:tc>
      </w:tr>
      <w:tr>
        <w:trPr>
          <w:cantSplit/>
        </w:trPr>
        <w:tc>
          <w:tcPr>
            <w:tcW w:w="4680" w:type="dxa"/>
            <w:tcBorders/>
            <w:vAlign w:val="center"/>
          </w:tcPr>
          <w:p>
            <w:pPr>
              <w:pStyle w:val="TableContents"/>
              <w:suppressLineNumbers/>
              <w:bidi w:val="0"/>
              <w:spacing w:before="0" w:after="40"/>
              <w:ind w:hanging="0" w:start="43" w:end="43"/>
              <w:rPr/>
            </w:pPr>
            <w:r>
              <w:rPr>
                <w:sz w:val="19"/>
              </w:rPr>
              <w:t>DefectDojo</w:t>
            </w:r>
          </w:p>
        </w:tc>
        <w:tc>
          <w:tcPr>
            <w:tcW w:w="4680" w:type="dxa"/>
            <w:tcBorders/>
            <w:vAlign w:val="center"/>
          </w:tcPr>
          <w:p>
            <w:pPr>
              <w:pStyle w:val="TableContents"/>
              <w:suppressLineNumbers/>
              <w:bidi w:val="0"/>
              <w:spacing w:before="0" w:after="40"/>
              <w:ind w:hanging="0" w:start="43" w:end="43"/>
              <w:rPr/>
            </w:pPr>
            <w:r>
              <w:rPr>
                <w:sz w:val="19"/>
              </w:rPr>
              <w:t>Admissão, deduplicação, propriedade, remediação e reteste de constatações</w:t>
            </w:r>
          </w:p>
        </w:tc>
      </w:tr>
      <w:tr>
        <w:trPr>
          <w:cantSplit/>
        </w:trPr>
        <w:tc>
          <w:tcPr>
            <w:tcW w:w="4680" w:type="dxa"/>
            <w:tcBorders/>
            <w:vAlign w:val="center"/>
          </w:tcPr>
          <w:p>
            <w:pPr>
              <w:pStyle w:val="TableContents"/>
              <w:suppressLineNumbers/>
              <w:bidi w:val="0"/>
              <w:spacing w:before="0" w:after="40"/>
              <w:ind w:hanging="0" w:start="43" w:end="43"/>
              <w:rPr/>
            </w:pPr>
            <w:r>
              <w:rPr>
                <w:sz w:val="19"/>
              </w:rPr>
              <w:t>Langfuse</w:t>
            </w:r>
          </w:p>
        </w:tc>
        <w:tc>
          <w:tcPr>
            <w:tcW w:w="4680" w:type="dxa"/>
            <w:tcBorders/>
            <w:vAlign w:val="center"/>
          </w:tcPr>
          <w:p>
            <w:pPr>
              <w:pStyle w:val="TableContents"/>
              <w:suppressLineNumbers/>
              <w:bidi w:val="0"/>
              <w:spacing w:before="0" w:after="40"/>
              <w:ind w:hanging="0" w:start="43" w:end="43"/>
              <w:rPr/>
            </w:pPr>
            <w:r>
              <w:rPr>
                <w:sz w:val="19"/>
              </w:rPr>
              <w:t>Rastreamento de LLM, gestão de prompts e avaliação de código aberto</w:t>
            </w:r>
          </w:p>
        </w:tc>
      </w:tr>
    </w:tbl>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Governança de ferramentas:</w:t>
      </w:r>
      <w:r>
        <w:rPr/>
        <w:t xml:space="preserve"> Use somente sistemas, modelos, contas, repositórios e dados autorizados. Comece com ambientes isolados e dados sintéticos. Proteja credenciais, prompts, saídas, rastros, informações pessoais e constatações. Registre versões e valide resultados automatizados.</w:t>
      </w:r>
    </w:p>
    <w:p>
      <w:pPr>
        <w:pStyle w:val="Heading2"/>
        <w:tabs>
          <w:tab w:val="clear" w:pos="709"/>
          <w:tab w:val="left" w:pos="0" w:leader="none"/>
        </w:tabs>
        <w:bidi w:val="0"/>
        <w:ind w:hanging="0" w:start="0"/>
        <w:jc w:val="left"/>
        <w:rPr/>
        <w:keepNext/>
      </w:pPr>
      <w:bookmarkStart w:id="83" w:name="mlflow"/>
      <w:r>
        <w:rPr/>
        <w:t>30.1 MLflow</w:t>
      </w:r>
      <w:bookmarkEnd w:id="83"/>
    </w:p>
    <w:p>
      <w:pPr>
        <w:pStyle w:val="Firstparagraph"/>
        <w:bidi w:val="0"/>
        <w:rPr/>
      </w:pPr>
      <w:r>
        <w:rPr>
          <w:b/>
          <w:bCs/>
        </w:rPr>
        <w:t>Finalidade:</w:t>
      </w:r>
      <w:r>
        <w:rPr/>
        <w:t xml:space="preserve"> Rastreamento de experimentos, registro de modelos, linhagem, aprovação e registros de implantação. Projeto oficial: </w:t>
      </w:r>
      <w:hyperlink r:id="rId20">
        <w:r>
          <w:rPr>
            <w:rStyle w:val="Hyperlink"/>
          </w:rPr>
          <w:t>MLflow</w:t>
        </w:r>
      </w:hyperlink>
    </w:p>
    <w:p>
      <w:pPr>
        <w:pStyle w:val="BodyText"/>
        <w:bidi w:val="0"/>
        <w:spacing w:before="86" w:after="86"/>
        <w:rPr/>
      </w:pPr>
      <w:r>
        <w:rPr>
          <w:b/>
          <w:bCs/>
        </w:rPr>
        <w:t>Início seguro:</w:t>
      </w:r>
      <w:r>
        <w:rPr/>
        <w:t xml:space="preserve"> Crie projeto local; registre parâmetros, referência de conjunto de dados, métricas, artefatos, proprietário e aprovação; registre apenas modelo testado; restrinja mudanças no registro.</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84" w:name="dvc"/>
      <w:r>
        <w:rPr/>
        <w:t>30.2 DVC</w:t>
      </w:r>
      <w:bookmarkEnd w:id="84"/>
    </w:p>
    <w:p>
      <w:pPr>
        <w:pStyle w:val="Firstparagraph"/>
        <w:bidi w:val="0"/>
        <w:rPr/>
      </w:pPr>
      <w:r>
        <w:rPr>
          <w:b/>
          <w:bCs/>
        </w:rPr>
        <w:t>Finalidade:</w:t>
      </w:r>
      <w:r>
        <w:rPr/>
        <w:t xml:space="preserve"> Controle de versões para dados, modelos e pipelines. Projeto oficial: </w:t>
      </w:r>
      <w:hyperlink r:id="rId21">
        <w:r>
          <w:rPr>
            <w:rStyle w:val="Hyperlink"/>
          </w:rPr>
          <w:t>DVC</w:t>
        </w:r>
      </w:hyperlink>
    </w:p>
    <w:p>
      <w:pPr>
        <w:pStyle w:val="BodyText"/>
        <w:bidi w:val="0"/>
        <w:spacing w:before="86" w:after="86"/>
        <w:rPr/>
      </w:pPr>
      <w:r>
        <w:rPr>
          <w:b/>
          <w:bCs/>
        </w:rPr>
        <w:t>Início seguro:</w:t>
      </w:r>
      <w:r>
        <w:rPr/>
        <w:t xml:space="preserve"> Use conjunto de dados sintético em repositório de treinamento; versione dados e etapas de pipeline; reproduza uma execução; proteja armazenamento remoto e credenciais.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85" w:name="openlineage"/>
      <w:r>
        <w:rPr/>
        <w:t>30.3 OpenLineage</w:t>
      </w:r>
      <w:bookmarkEnd w:id="85"/>
    </w:p>
    <w:p>
      <w:pPr>
        <w:pStyle w:val="Firstparagraph"/>
        <w:bidi w:val="0"/>
        <w:rPr/>
      </w:pPr>
      <w:r>
        <w:rPr>
          <w:b/>
          <w:bCs/>
        </w:rPr>
        <w:t>Finalidade:</w:t>
      </w:r>
      <w:r>
        <w:rPr/>
        <w:t xml:space="preserve"> Padrão aberto e ferramentas para eventos de linhagem de dados/trabalhos. Projeto oficial: </w:t>
      </w:r>
      <w:hyperlink r:id="rId22">
        <w:r>
          <w:rPr>
            <w:rStyle w:val="Hyperlink"/>
          </w:rPr>
          <w:t>OpenLineage</w:t>
        </w:r>
      </w:hyperlink>
    </w:p>
    <w:p>
      <w:pPr>
        <w:pStyle w:val="BodyText"/>
        <w:bidi w:val="0"/>
        <w:spacing w:before="86" w:after="86"/>
        <w:rPr/>
      </w:pPr>
      <w:r>
        <w:rPr>
          <w:b/>
          <w:bCs/>
        </w:rPr>
        <w:t>Início seguro:</w:t>
      </w:r>
      <w:r>
        <w:rPr/>
        <w:t xml:space="preserve"> Instrumente pequeno pipeline de laboratório; registre relações entre conjuntos de dados e trabalhos; verifique completude de eventos; proteja metadados sensíveis.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86" w:name="openmetadata"/>
      <w:r>
        <w:rPr/>
        <w:t>30.4 OpenMetadata</w:t>
      </w:r>
      <w:bookmarkEnd w:id="86"/>
    </w:p>
    <w:p>
      <w:pPr>
        <w:pStyle w:val="Firstparagraph"/>
        <w:bidi w:val="0"/>
        <w:rPr/>
      </w:pPr>
      <w:r>
        <w:rPr>
          <w:b/>
          <w:bCs/>
        </w:rPr>
        <w:t>Finalidade:</w:t>
      </w:r>
      <w:r>
        <w:rPr/>
        <w:t xml:space="preserve"> Catálogo de dados, linhagem, propriedade, glossário e metadados de qualidade. Projeto oficial: </w:t>
      </w:r>
      <w:hyperlink r:id="rId23">
        <w:r>
          <w:rPr>
            <w:rStyle w:val="Hyperlink"/>
          </w:rPr>
          <w:t>OpenMetadata</w:t>
        </w:r>
      </w:hyperlink>
    </w:p>
    <w:p>
      <w:pPr>
        <w:pStyle w:val="BodyText"/>
        <w:bidi w:val="0"/>
        <w:spacing w:before="86" w:after="86"/>
        <w:rPr/>
      </w:pPr>
      <w:r>
        <w:rPr>
          <w:b/>
          <w:bCs/>
        </w:rPr>
        <w:t>Início seguro:</w:t>
      </w:r>
      <w:r>
        <w:rPr/>
        <w:t xml:space="preserve"> Implante instância de laboratório; catalogue conjuntos sintéticos; atribua proprietários/classificação; documente linhagem e retenção; restrinja conectores.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87" w:name="great-expectations"/>
      <w:r>
        <w:rPr/>
        <w:t>30.5 Great Expectations</w:t>
      </w:r>
      <w:bookmarkEnd w:id="87"/>
    </w:p>
    <w:p>
      <w:pPr>
        <w:pStyle w:val="Firstparagraph"/>
        <w:bidi w:val="0"/>
        <w:rPr/>
      </w:pPr>
      <w:r>
        <w:rPr>
          <w:b/>
          <w:bCs/>
        </w:rPr>
        <w:t>Finalidade:</w:t>
      </w:r>
      <w:r>
        <w:rPr/>
        <w:t xml:space="preserve"> Expectativas automatizadas de qualidade de dados e resultados de validação. Projeto oficial: </w:t>
      </w:r>
      <w:hyperlink r:id="rId24">
        <w:r>
          <w:rPr>
            <w:rStyle w:val="Hyperlink"/>
          </w:rPr>
          <w:t>Great Expectations</w:t>
        </w:r>
      </w:hyperlink>
    </w:p>
    <w:p>
      <w:pPr>
        <w:pStyle w:val="BodyText"/>
        <w:bidi w:val="0"/>
        <w:spacing w:before="86" w:after="86"/>
        <w:rPr/>
      </w:pPr>
      <w:r>
        <w:rPr>
          <w:b/>
          <w:bCs/>
        </w:rPr>
        <w:t>Início seguro:</w:t>
      </w:r>
      <w:r>
        <w:rPr/>
        <w:t xml:space="preserve"> Defina expectativas de precisão, completude, faixa e nulos para dados sintéticos; execute validação; preserve suite/versão/resultados e exceções.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88" w:name="evidently"/>
      <w:r>
        <w:rPr/>
        <w:t>30.6 Evidently</w:t>
      </w:r>
      <w:bookmarkEnd w:id="88"/>
    </w:p>
    <w:p>
      <w:pPr>
        <w:pStyle w:val="Firstparagraph"/>
        <w:bidi w:val="0"/>
        <w:rPr/>
      </w:pPr>
      <w:r>
        <w:rPr>
          <w:b/>
          <w:bCs/>
        </w:rPr>
        <w:t>Finalidade:</w:t>
      </w:r>
      <w:r>
        <w:rPr/>
        <w:t xml:space="preserve"> Qualidade de dados, drift, desempenho do modelo e relatórios de monitoramento. Projeto oficial: </w:t>
      </w:r>
      <w:hyperlink r:id="rId25">
        <w:r>
          <w:rPr>
            <w:rStyle w:val="Hyperlink"/>
          </w:rPr>
          <w:t>Evidently</w:t>
        </w:r>
      </w:hyperlink>
    </w:p>
    <w:p>
      <w:pPr>
        <w:pStyle w:val="BodyText"/>
        <w:bidi w:val="0"/>
        <w:spacing w:before="86" w:after="86"/>
        <w:rPr/>
      </w:pPr>
      <w:r>
        <w:rPr>
          <w:b/>
          <w:bCs/>
        </w:rPr>
        <w:t>Início seguro:</w:t>
      </w:r>
      <w:r>
        <w:rPr/>
        <w:t xml:space="preserve"> Crie conjuntos sintéticos de referência e atuais; execute relatório; defina limites de ação; investigue antes de retreinar ou fazer rollback.</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89" w:name="deepchecks"/>
      <w:r>
        <w:rPr/>
        <w:t>30.7 Deepchecks</w:t>
      </w:r>
      <w:bookmarkEnd w:id="89"/>
    </w:p>
    <w:p>
      <w:pPr>
        <w:pStyle w:val="Firstparagraph"/>
        <w:bidi w:val="0"/>
        <w:rPr/>
      </w:pPr>
      <w:r>
        <w:rPr>
          <w:b/>
          <w:bCs/>
        </w:rPr>
        <w:t>Finalidade:</w:t>
      </w:r>
      <w:r>
        <w:rPr/>
        <w:t xml:space="preserve"> Testes de dados, modelos de ML e aplicações LLM. Projeto oficial: </w:t>
      </w:r>
      <w:hyperlink r:id="rId26">
        <w:r>
          <w:rPr>
            <w:rStyle w:val="Hyperlink"/>
          </w:rPr>
          <w:t>Deepchecks</w:t>
        </w:r>
      </w:hyperlink>
    </w:p>
    <w:p>
      <w:pPr>
        <w:pStyle w:val="BodyText"/>
        <w:bidi w:val="0"/>
        <w:spacing w:before="86" w:after="86"/>
        <w:rPr/>
      </w:pPr>
      <w:r>
        <w:rPr>
          <w:b/>
          <w:bCs/>
        </w:rPr>
        <w:t>Início seguro:</w:t>
      </w:r>
      <w:r>
        <w:rPr/>
        <w:t xml:space="preserve"> Execute suite focada sobre dados de laboratório aprovados; revise relevância e falsos positivos; registre exceções; repita após correção.</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0" w:name="giskard"/>
      <w:r>
        <w:rPr/>
        <w:t>30.8 Giskard</w:t>
      </w:r>
      <w:bookmarkEnd w:id="90"/>
    </w:p>
    <w:p>
      <w:pPr>
        <w:pStyle w:val="Firstparagraph"/>
        <w:bidi w:val="0"/>
        <w:rPr/>
      </w:pPr>
      <w:r>
        <w:rPr>
          <w:b/>
          <w:bCs/>
        </w:rPr>
        <w:t>Finalidade:</w:t>
      </w:r>
      <w:r>
        <w:rPr/>
        <w:t xml:space="preserve"> Testes de IA e varredura de vulnerabilidades. Projeto oficial: </w:t>
      </w:r>
      <w:hyperlink r:id="rId27">
        <w:r>
          <w:rPr>
            <w:rStyle w:val="Hyperlink"/>
          </w:rPr>
          <w:t>Giskard</w:t>
        </w:r>
      </w:hyperlink>
    </w:p>
    <w:p>
      <w:pPr>
        <w:pStyle w:val="BodyText"/>
        <w:bidi w:val="0"/>
        <w:spacing w:before="86" w:after="86"/>
        <w:rPr/>
      </w:pPr>
      <w:r>
        <w:rPr>
          <w:b/>
          <w:bCs/>
        </w:rPr>
        <w:t>Início seguro:</w:t>
      </w:r>
      <w:r>
        <w:rPr/>
        <w:t xml:space="preserve"> Conecte apenas modelo e conjunto de teste aprovados; selecione testes relevantes; valide falhas manualmente; preserve relatório e reteste de remediação.</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1" w:name="promptfoo"/>
      <w:r>
        <w:rPr/>
        <w:t>30.9 Promptfoo</w:t>
      </w:r>
      <w:bookmarkEnd w:id="91"/>
    </w:p>
    <w:p>
      <w:pPr>
        <w:pStyle w:val="Firstparagraph"/>
        <w:bidi w:val="0"/>
        <w:rPr/>
      </w:pPr>
      <w:r>
        <w:rPr>
          <w:b/>
          <w:bCs/>
        </w:rPr>
        <w:t>Finalidade:</w:t>
      </w:r>
      <w:r>
        <w:rPr/>
        <w:t xml:space="preserve"> Avaliações de prompts, modelos, RAG e red teaming. Projeto oficial: </w:t>
      </w:r>
      <w:hyperlink r:id="rId28">
        <w:r>
          <w:rPr>
            <w:rStyle w:val="Hyperlink"/>
          </w:rPr>
          <w:t>Promptfoo</w:t>
        </w:r>
      </w:hyperlink>
    </w:p>
    <w:p>
      <w:pPr>
        <w:pStyle w:val="BodyText"/>
        <w:bidi w:val="0"/>
        <w:spacing w:before="86" w:after="86"/>
        <w:rPr/>
      </w:pPr>
      <w:r>
        <w:rPr>
          <w:b/>
          <w:bCs/>
        </w:rPr>
        <w:t>Início seguro:</w:t>
      </w:r>
      <w:r>
        <w:rPr/>
        <w:t xml:space="preserve"> Crie suite YAML versionada com casos sintéticos e comportamento esperado; execute localmente; revise falhas; preserve configuração e resultados.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2" w:name="garak"/>
      <w:r>
        <w:rPr/>
        <w:t>30.10 Garak</w:t>
      </w:r>
      <w:bookmarkEnd w:id="92"/>
    </w:p>
    <w:p>
      <w:pPr>
        <w:pStyle w:val="Firstparagraph"/>
        <w:bidi w:val="0"/>
        <w:rPr/>
      </w:pPr>
      <w:r>
        <w:rPr>
          <w:b/>
          <w:bCs/>
        </w:rPr>
        <w:t>Finalidade:</w:t>
      </w:r>
      <w:r>
        <w:rPr/>
        <w:t xml:space="preserve"> Varredura e sondas de vulnerabilidades de LLM. Projeto oficial: </w:t>
      </w:r>
      <w:hyperlink r:id="rId29">
        <w:r>
          <w:rPr>
            <w:rStyle w:val="Hyperlink"/>
          </w:rPr>
          <w:t>Garak</w:t>
        </w:r>
      </w:hyperlink>
    </w:p>
    <w:p>
      <w:pPr>
        <w:pStyle w:val="BodyText"/>
        <w:bidi w:val="0"/>
        <w:spacing w:before="86" w:after="86"/>
        <w:rPr/>
      </w:pPr>
      <w:r>
        <w:rPr>
          <w:b/>
          <w:bCs/>
        </w:rPr>
        <w:t>Início seguro:</w:t>
      </w:r>
      <w:r>
        <w:rPr/>
        <w:t xml:space="preserve"> Use modelo isolado de laboratório e conjunto limitado de sondas aprovadas; limite solicitações e custo; proteja saídas; valide cada constatação.</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3" w:name="pyrit"/>
      <w:r>
        <w:rPr/>
        <w:t>30.11 PyRIT</w:t>
      </w:r>
      <w:bookmarkEnd w:id="93"/>
    </w:p>
    <w:p>
      <w:pPr>
        <w:pStyle w:val="Firstparagraph"/>
        <w:bidi w:val="0"/>
        <w:rPr/>
      </w:pPr>
      <w:r>
        <w:rPr>
          <w:b/>
          <w:bCs/>
        </w:rPr>
        <w:t>Finalidade:</w:t>
      </w:r>
      <w:r>
        <w:rPr/>
        <w:t xml:space="preserve"> Identificação de riscos e orquestração de red teaming para IA generativa. Projeto oficial: </w:t>
      </w:r>
      <w:hyperlink r:id="rId30">
        <w:r>
          <w:rPr>
            <w:rStyle w:val="Hyperlink"/>
          </w:rPr>
          <w:t>PyRIT</w:t>
        </w:r>
      </w:hyperlink>
    </w:p>
    <w:p>
      <w:pPr>
        <w:pStyle w:val="BodyText"/>
        <w:bidi w:val="0"/>
        <w:spacing w:before="86" w:after="86"/>
        <w:rPr/>
      </w:pPr>
      <w:r>
        <w:rPr>
          <w:b/>
          <w:bCs/>
        </w:rPr>
        <w:t>Início seguro:</w:t>
      </w:r>
      <w:r>
        <w:rPr/>
        <w:t xml:space="preserve"> Defina regras de laboratório por escrito; use objetivos inofensivos e dados sintéticos; estabeleça limites de solicitações/tempo/custo; proteja transcrições e constatações.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4" w:name="inspect-ai"/>
      <w:r>
        <w:rPr/>
        <w:t>30.12 Inspect AI</w:t>
      </w:r>
      <w:bookmarkEnd w:id="94"/>
    </w:p>
    <w:p>
      <w:pPr>
        <w:pStyle w:val="Firstparagraph"/>
        <w:bidi w:val="0"/>
        <w:rPr/>
      </w:pPr>
      <w:r>
        <w:rPr>
          <w:b/>
          <w:bCs/>
        </w:rPr>
        <w:t>Finalidade:</w:t>
      </w:r>
      <w:r>
        <w:rPr/>
        <w:t xml:space="preserve"> Avaliações reproduzíveis de IA. Projeto oficial: </w:t>
      </w:r>
      <w:hyperlink r:id="rId31">
        <w:r>
          <w:rPr>
            <w:rStyle w:val="Hyperlink"/>
          </w:rPr>
          <w:t>Inspect AI</w:t>
        </w:r>
      </w:hyperlink>
    </w:p>
    <w:p>
      <w:pPr>
        <w:pStyle w:val="BodyText"/>
        <w:bidi w:val="0"/>
        <w:spacing w:before="86" w:after="86"/>
        <w:rPr/>
      </w:pPr>
      <w:r>
        <w:rPr>
          <w:b/>
          <w:bCs/>
        </w:rPr>
        <w:t>Início seguro:</w:t>
      </w:r>
      <w:r>
        <w:rPr/>
        <w:t xml:space="preserve"> Defina tarefa, conjunto de dados, solver, avaliador e regra de aceitação; fixe versões; execute modelo aprovado; preserve logs e limitações.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5" w:name="presidio"/>
      <w:r>
        <w:rPr/>
        <w:t>30.13 Presidio</w:t>
      </w:r>
      <w:bookmarkEnd w:id="95"/>
    </w:p>
    <w:p>
      <w:pPr>
        <w:pStyle w:val="Firstparagraph"/>
        <w:bidi w:val="0"/>
        <w:rPr/>
      </w:pPr>
      <w:r>
        <w:rPr>
          <w:b/>
          <w:bCs/>
        </w:rPr>
        <w:t>Finalidade:</w:t>
      </w:r>
      <w:r>
        <w:rPr/>
        <w:t xml:space="preserve"> Detecção e desidentificação de informações pessoais. Projeto oficial: </w:t>
      </w:r>
      <w:hyperlink r:id="rId32">
        <w:r>
          <w:rPr>
            <w:rStyle w:val="Hyperlink"/>
          </w:rPr>
          <w:t>Presidio</w:t>
        </w:r>
      </w:hyperlink>
    </w:p>
    <w:p>
      <w:pPr>
        <w:pStyle w:val="BodyText"/>
        <w:bidi w:val="0"/>
        <w:spacing w:before="86" w:after="86"/>
        <w:rPr/>
      </w:pPr>
      <w:r>
        <w:rPr>
          <w:b/>
          <w:bCs/>
        </w:rPr>
        <w:t>Início seguro:</w:t>
      </w:r>
      <w:r>
        <w:rPr/>
        <w:t xml:space="preserve"> Teste em exemplos sintéticos; configure reconhecedores para idioma/contexto; inspecione falsos positivos e perdas; proteja a saída do analisador.</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6" w:name="modelscan"/>
      <w:r>
        <w:rPr/>
        <w:t>30.14 ModelScan</w:t>
      </w:r>
      <w:bookmarkEnd w:id="96"/>
    </w:p>
    <w:p>
      <w:pPr>
        <w:pStyle w:val="Firstparagraph"/>
        <w:bidi w:val="0"/>
        <w:rPr/>
      </w:pPr>
      <w:r>
        <w:rPr>
          <w:b/>
          <w:bCs/>
        </w:rPr>
        <w:t>Finalidade:</w:t>
      </w:r>
      <w:r>
        <w:rPr/>
        <w:t xml:space="preserve"> Varredura estática de arquivos de modelos serializados. Projeto oficial: </w:t>
      </w:r>
      <w:hyperlink r:id="rId33">
        <w:r>
          <w:rPr>
            <w:rStyle w:val="Hyperlink"/>
          </w:rPr>
          <w:t>ModelScan</w:t>
        </w:r>
      </w:hyperlink>
    </w:p>
    <w:p>
      <w:pPr>
        <w:pStyle w:val="BodyText"/>
        <w:bidi w:val="0"/>
        <w:spacing w:before="86" w:after="86"/>
        <w:rPr/>
      </w:pPr>
      <w:r>
        <w:rPr>
          <w:b/>
          <w:bCs/>
        </w:rPr>
        <w:t>Início seguro:</w:t>
      </w:r>
      <w:r>
        <w:rPr/>
        <w:t xml:space="preserve"> Analise artefato em quarentena; verifique fonte e hash; investigue alertas; nunca carregue modelo não confiável somente para testá-lo.</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7" w:name="cyclonedx"/>
      <w:r>
        <w:rPr/>
        <w:t>30.15 CycloneDX</w:t>
      </w:r>
      <w:bookmarkEnd w:id="97"/>
    </w:p>
    <w:p>
      <w:pPr>
        <w:pStyle w:val="Firstparagraph"/>
        <w:bidi w:val="0"/>
        <w:rPr/>
      </w:pPr>
      <w:r>
        <w:rPr>
          <w:b/>
          <w:bCs/>
        </w:rPr>
        <w:t>Finalidade:</w:t>
      </w:r>
      <w:r>
        <w:rPr/>
        <w:t xml:space="preserve"> Formatos e ferramentas de lista de materiais de software, ML e IA. Projeto oficial: </w:t>
      </w:r>
      <w:hyperlink r:id="rId34">
        <w:r>
          <w:rPr>
            <w:rStyle w:val="Hyperlink"/>
          </w:rPr>
          <w:t>CycloneDX</w:t>
        </w:r>
      </w:hyperlink>
    </w:p>
    <w:p>
      <w:pPr>
        <w:pStyle w:val="BodyText"/>
        <w:bidi w:val="0"/>
        <w:spacing w:before="86" w:after="86"/>
        <w:rPr/>
      </w:pPr>
      <w:r>
        <w:rPr>
          <w:b/>
          <w:bCs/>
        </w:rPr>
        <w:t>Início seguro:</w:t>
      </w:r>
      <w:r>
        <w:rPr/>
        <w:t xml:space="preserve"> Gere lista de materiais para repositório de laboratório; valide componentes e versões; vincule constatações a proprietários e registros de fornecedores.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8" w:name="open-policy-agent"/>
      <w:r>
        <w:rPr/>
        <w:t>30.16 Open Policy Agent</w:t>
      </w:r>
      <w:bookmarkEnd w:id="98"/>
    </w:p>
    <w:p>
      <w:pPr>
        <w:pStyle w:val="Firstparagraph"/>
        <w:bidi w:val="0"/>
        <w:rPr/>
      </w:pPr>
      <w:r>
        <w:rPr>
          <w:b/>
          <w:bCs/>
        </w:rPr>
        <w:t>Finalidade:</w:t>
      </w:r>
      <w:r>
        <w:rPr/>
        <w:t xml:space="preserve"> Decisões de política como código. Projeto oficial: </w:t>
      </w:r>
      <w:hyperlink r:id="rId35">
        <w:r>
          <w:rPr>
            <w:rStyle w:val="Hyperlink"/>
          </w:rPr>
          <w:t>Open Policy Agent</w:t>
        </w:r>
      </w:hyperlink>
    </w:p>
    <w:p>
      <w:pPr>
        <w:pStyle w:val="BodyText"/>
        <w:bidi w:val="0"/>
        <w:spacing w:before="86" w:after="86"/>
        <w:rPr/>
      </w:pPr>
      <w:r>
        <w:rPr>
          <w:b/>
          <w:bCs/>
        </w:rPr>
        <w:t>Início seguro:</w:t>
      </w:r>
      <w:r>
        <w:rPr/>
        <w:t xml:space="preserve"> Escreva pequena regra de laboratório para modelo/dados/uso aprovados; teste permitir, negar e casos sem dados; faça revisão por pares; preserve autoridade humana de exceção.</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99" w:name="defectdojo"/>
      <w:r>
        <w:rPr/>
        <w:t>30.17 DefectDojo</w:t>
      </w:r>
      <w:bookmarkEnd w:id="99"/>
    </w:p>
    <w:p>
      <w:pPr>
        <w:pStyle w:val="Firstparagraph"/>
        <w:bidi w:val="0"/>
        <w:rPr/>
      </w:pPr>
      <w:r>
        <w:rPr>
          <w:b/>
          <w:bCs/>
        </w:rPr>
        <w:t>Finalidade:</w:t>
      </w:r>
      <w:r>
        <w:rPr/>
        <w:t xml:space="preserve"> Admissão, deduplicação, propriedade, remediação e reteste de constatações. Projeto oficial: </w:t>
      </w:r>
      <w:hyperlink r:id="rId36">
        <w:r>
          <w:rPr>
            <w:rStyle w:val="Hyperlink"/>
          </w:rPr>
          <w:t>DefectDojo</w:t>
        </w:r>
      </w:hyperlink>
    </w:p>
    <w:p>
      <w:pPr>
        <w:pStyle w:val="BodyText"/>
        <w:bidi w:val="0"/>
        <w:spacing w:before="86" w:after="86"/>
        <w:rPr/>
      </w:pPr>
      <w:r>
        <w:rPr>
          <w:b/>
          <w:bCs/>
        </w:rPr>
        <w:t>Início seguro:</w:t>
      </w:r>
      <w:r>
        <w:rPr/>
        <w:t xml:space="preserve"> Importe resultados seguros de laboratório; valide duplicatas e severidade; atribua proprietário/data; anexe evidências; encerre apenas após reteste.</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2"/>
        <w:tabs>
          <w:tab w:val="clear" w:pos="709"/>
          <w:tab w:val="left" w:pos="0" w:leader="none"/>
        </w:tabs>
        <w:bidi w:val="0"/>
        <w:ind w:hanging="0" w:start="0"/>
        <w:jc w:val="left"/>
        <w:rPr/>
        <w:keepNext/>
      </w:pPr>
      <w:bookmarkStart w:id="100" w:name="langfuse"/>
      <w:r>
        <w:rPr/>
        <w:t>30.18 Langfuse</w:t>
      </w:r>
      <w:bookmarkEnd w:id="100"/>
    </w:p>
    <w:p>
      <w:pPr>
        <w:pStyle w:val="Firstparagraph"/>
        <w:bidi w:val="0"/>
        <w:rPr/>
      </w:pPr>
      <w:r>
        <w:rPr>
          <w:b/>
          <w:bCs/>
        </w:rPr>
        <w:t>Finalidade:</w:t>
      </w:r>
      <w:r>
        <w:rPr/>
        <w:t xml:space="preserve"> Rastreamento de LLM, gestão de prompts e avaliação de código aberto. Projeto oficial: </w:t>
      </w:r>
      <w:hyperlink r:id="rId37">
        <w:r>
          <w:rPr>
            <w:rStyle w:val="Hyperlink"/>
          </w:rPr>
          <w:t>Langfuse</w:t>
        </w:r>
      </w:hyperlink>
    </w:p>
    <w:p>
      <w:pPr>
        <w:pStyle w:val="BodyText"/>
        <w:bidi w:val="0"/>
        <w:spacing w:before="86" w:after="86"/>
        <w:rPr/>
      </w:pPr>
      <w:r>
        <w:rPr>
          <w:b/>
          <w:bCs/>
        </w:rPr>
        <w:t>Início seguro:</w:t>
      </w:r>
      <w:r>
        <w:rPr/>
        <w:t xml:space="preserve"> Use laboratório aprovado; oculte campos sensíveis; rastreie fluxo; restrinja acesso/retenção; conecte rastros a avaliação e registros de incidentes.</w:t>
      </w:r>
    </w:p>
    <w:p>
      <w:pPr>
        <w:pStyle w:val="BodyText"/>
        <w:bidi w:val="0"/>
        <w:spacing w:before="86" w:after="86"/>
        <w:rPr/>
      </w:pPr>
      <w:r>
        <w:rPr>
          <w:b/>
          <w:bCs/>
        </w:rPr>
        <w:t>Evidência do SGIA:</w:t>
      </w:r>
      <w:r>
        <w:rPr/>
        <w:t xml:space="preserve"> autoridade/escopo, versões de sistema/modelo/dados, identidade, ferramenta/versão/configuração, critérios/limites, data, população-fonte, resultado, validação humana, limitações, constatação, proprietário/ação, aprovação e reteste.</w:t>
      </w:r>
    </w:p>
    <w:p>
      <w:pPr>
        <w:pStyle w:val="Heading1"/>
        <w:tabs>
          <w:tab w:val="clear" w:pos="709"/>
          <w:tab w:val="left" w:pos="0" w:leader="none"/>
        </w:tabs>
        <w:bidi w:val="0"/>
        <w:ind w:hanging="0" w:start="0"/>
        <w:jc w:val="left"/>
        <w:rPr/>
        <w:keepNext/>
      </w:pPr>
      <w:bookmarkStart w:id="101" w:name="guia-de-gestores-e-analistas-juniores-la"/>
      <w:r>
        <w:rPr/>
        <w:t>31. Guia de gestores e analistas juniores, laboratório e entrevistas</w:t>
      </w:r>
      <w:bookmarkEnd w:id="101"/>
    </w:p>
    <w:p>
      <w:pPr>
        <w:pStyle w:val="Firstparagraph"/>
        <w:bidi w:val="0"/>
        <w:rPr>
          <w:i/>
          <w:iCs/>
        </w:rPr>
      </w:pPr>
      <w:r>
        <w:rPr>
          <w:i/>
          <w:iCs/>
        </w:rPr>
        <w:t>Gestores mantêm o SGIA ligado a resultados reais; analistas juniores criam inventários, papéis de trabalho, constatações e evidências de melhoria confiáveis.</w:t>
      </w:r>
    </w:p>
    <w:p>
      <w:pPr>
        <w:pStyle w:val="FigureWithCaption"/>
        <w:keepNext w:val="true"/>
        <w:suppressLineNumbers/>
        <w:bidi w:val="0"/>
        <w:rPr/>
      </w:pPr>
      <w:r>
        <w:rPr/>
        <w:drawing>
          <wp:inline distT="0" distB="0" distL="0" distR="0">
            <wp:extent cx="5623560" cy="2955925"/>
            <wp:effectExtent l="0" t="0" r="0" b="0"/>
            <wp:docPr id="10" name="Manual 02 Figure 10" title="Figure 10" descr="Trabalho prático e limitações declaradas com honestidade valem mais que números de cláusulas memor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pPr>
      <w:r>
        <w:rPr/>
        <w:t>Trabalho prático e limitações declaradas com honestidade valem mais que números de cláusulas memorizados.</w:t>
      </w:r>
    </w:p>
    <w:p>
      <w:pPr>
        <w:pStyle w:val="Caption"/>
        <w:bidi w:val="0"/>
        <w:spacing w:before="86" w:after="86"/>
        <w:rPr/>
        <w:keepNext/>
      </w:pPr>
      <w:r>
        <w:rPr/>
        <w:t>Figura 10. Caminho do analista júnior de SGIA</w:t>
      </w:r>
    </w:p>
    <w:p>
      <w:pPr>
        <w:pStyle w:val="BlockQuotation"/>
        <w:bidi w:val="0"/>
        <w:ind w:hanging="0" w:start="720" w:end="0"/>
        <w:rPr/>
      </w:pPr>
      <w:r>
        <w:rPr>
          <w:b/>
          <w:bCs/>
        </w:rPr>
        <w:t>Explicação acessível:</w:t>
      </w:r>
      <w:r>
        <w:rPr/>
        <w:t xml:space="preserve"> O caminho do analista júnior começa com compreensão de escopo e critérios, segue por inventários e evidências, testes e papéis de trabalho, redação objetiva de constatações, acompanhamento de ações e aprendizagem contínua, sem assumir autoridade de certificação ou auditoria que não corresponda.</w:t>
      </w:r>
    </w:p>
    <w:p>
      <w:pPr>
        <w:pStyle w:val="Heading2"/>
        <w:tabs>
          <w:tab w:val="clear" w:pos="709"/>
          <w:tab w:val="left" w:pos="0" w:leader="none"/>
        </w:tabs>
        <w:bidi w:val="0"/>
        <w:ind w:hanging="0" w:start="0"/>
        <w:jc w:val="left"/>
        <w:rPr/>
        <w:keepNext/>
      </w:pPr>
      <w:bookmarkStart w:id="102" w:name="perguntas-para-gestores"/>
      <w:r>
        <w:rPr/>
        <w:t>31.1 Perguntas para gestores</w:t>
      </w:r>
      <w:bookmarkEnd w:id="102"/>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Pergunta</w:t>
            </w:r>
          </w:p>
        </w:tc>
        <w:tc>
          <w:tcPr>
            <w:tcW w:w="3120" w:type="dxa"/>
            <w:tcBorders/>
            <w:vAlign w:val="center"/>
            <w:shd w:fill="1F4E78"/>
          </w:tcPr>
          <w:p>
            <w:pPr>
              <w:pStyle w:val="TableHeading"/>
              <w:bidi w:val="0"/>
              <w:spacing w:before="0" w:after="40"/>
              <w:rPr>
                <w:b/>
                <w:bCs/>
              </w:rPr>
            </w:pPr>
            <w:r>
              <w:rPr>
                <w:b/>
                <w:bCs/>
                <w:sz w:val="19"/>
                <w:color w:val="FFFFFF"/>
              </w:rPr>
              <w:t>Evidência forte</w:t>
            </w:r>
          </w:p>
        </w:tc>
        <w:tc>
          <w:tcPr>
            <w:tcW w:w="3120" w:type="dxa"/>
            <w:tcBorders/>
            <w:vAlign w:val="center"/>
            <w:shd w:fill="1F4E78"/>
          </w:tcPr>
          <w:p>
            <w:pPr>
              <w:pStyle w:val="TableHeading"/>
              <w:bidi w:val="0"/>
              <w:spacing w:before="0" w:after="40"/>
              <w:rPr>
                <w:b/>
                <w:bCs/>
              </w:rPr>
            </w:pPr>
            <w:r>
              <w:rPr>
                <w:b/>
                <w:bCs/>
                <w:sz w:val="19"/>
                <w:color w:val="FFFFFF"/>
              </w:rPr>
              <w:t>Sinal de alerta</w:t>
            </w:r>
          </w:p>
        </w:tc>
      </w:tr>
      <w:tr>
        <w:trPr>
          <w:cantSplit/>
        </w:trPr>
        <w:tc>
          <w:tcPr>
            <w:tcW w:w="3120" w:type="dxa"/>
            <w:tcBorders/>
            <w:vAlign w:val="center"/>
          </w:tcPr>
          <w:p>
            <w:pPr>
              <w:pStyle w:val="TableContents"/>
              <w:suppressLineNumbers/>
              <w:bidi w:val="0"/>
              <w:spacing w:before="0" w:after="40"/>
              <w:ind w:hanging="0" w:start="43" w:end="43"/>
              <w:rPr/>
            </w:pPr>
            <w:r>
              <w:rPr>
                <w:sz w:val="19"/>
              </w:rPr>
              <w:t>O que está no escopo?</w:t>
            </w:r>
          </w:p>
        </w:tc>
        <w:tc>
          <w:tcPr>
            <w:tcW w:w="3120" w:type="dxa"/>
            <w:tcBorders/>
            <w:vAlign w:val="center"/>
          </w:tcPr>
          <w:p>
            <w:pPr>
              <w:pStyle w:val="TableContents"/>
              <w:suppressLineNumbers/>
              <w:bidi w:val="0"/>
              <w:spacing w:before="0" w:after="40"/>
              <w:ind w:hanging="0" w:start="43" w:end="43"/>
              <w:rPr/>
            </w:pPr>
            <w:r>
              <w:rPr>
                <w:sz w:val="19"/>
              </w:rPr>
              <w:t>Inventário reconciliado de IA e limites de organização/papel/sistema/dados/fornecedor</w:t>
            </w:r>
          </w:p>
        </w:tc>
        <w:tc>
          <w:tcPr>
            <w:tcW w:w="3120" w:type="dxa"/>
            <w:tcBorders/>
            <w:vAlign w:val="center"/>
          </w:tcPr>
          <w:p>
            <w:pPr>
              <w:pStyle w:val="TableContents"/>
              <w:suppressLineNumbers/>
              <w:bidi w:val="0"/>
              <w:spacing w:before="0" w:after="40"/>
              <w:ind w:hanging="0" w:start="43" w:end="43"/>
              <w:rPr/>
            </w:pPr>
            <w:r>
              <w:rPr>
                <w:sz w:val="19"/>
              </w:rPr>
              <w:t>Escopo de marketing maior que o certificado</w:t>
            </w:r>
          </w:p>
        </w:tc>
      </w:tr>
      <w:tr>
        <w:trPr>
          <w:cantSplit/>
        </w:trPr>
        <w:tc>
          <w:tcPr>
            <w:tcW w:w="3120" w:type="dxa"/>
            <w:tcBorders/>
            <w:vAlign w:val="center"/>
          </w:tcPr>
          <w:p>
            <w:pPr>
              <w:pStyle w:val="TableContents"/>
              <w:suppressLineNumbers/>
              <w:bidi w:val="0"/>
              <w:spacing w:before="0" w:after="40"/>
              <w:ind w:hanging="0" w:start="43" w:end="43"/>
              <w:rPr/>
            </w:pPr>
            <w:r>
              <w:rPr>
                <w:sz w:val="19"/>
              </w:rPr>
              <w:t>Quem pode decidir?</w:t>
            </w:r>
          </w:p>
        </w:tc>
        <w:tc>
          <w:tcPr>
            <w:tcW w:w="3120" w:type="dxa"/>
            <w:tcBorders/>
            <w:vAlign w:val="center"/>
          </w:tcPr>
          <w:p>
            <w:pPr>
              <w:pStyle w:val="TableContents"/>
              <w:suppressLineNumbers/>
              <w:bidi w:val="0"/>
              <w:spacing w:before="0" w:after="40"/>
              <w:ind w:hanging="0" w:start="43" w:end="43"/>
              <w:rPr/>
            </w:pPr>
            <w:r>
              <w:rPr>
                <w:sz w:val="19"/>
              </w:rPr>
              <w:t>Autoridade nomeada de negócio, sistema, dados, impacto, risco, fornecedor, incidente e auditoria</w:t>
            </w:r>
          </w:p>
        </w:tc>
        <w:tc>
          <w:tcPr>
            <w:tcW w:w="3120" w:type="dxa"/>
            <w:tcBorders/>
            <w:vAlign w:val="center"/>
          </w:tcPr>
          <w:p>
            <w:pPr>
              <w:pStyle w:val="TableContents"/>
              <w:suppressLineNumbers/>
              <w:bidi w:val="0"/>
              <w:spacing w:before="0" w:after="40"/>
              <w:ind w:hanging="0" w:start="43" w:end="43"/>
              <w:rPr/>
            </w:pPr>
            <w:r>
              <w:rPr>
                <w:sz w:val="19"/>
              </w:rPr>
              <w:t>Equipe de IA aceita sozinha risco jurídico/comercial</w:t>
            </w:r>
          </w:p>
        </w:tc>
      </w:tr>
      <w:tr>
        <w:trPr>
          <w:cantSplit/>
        </w:trPr>
        <w:tc>
          <w:tcPr>
            <w:tcW w:w="3120" w:type="dxa"/>
            <w:tcBorders/>
            <w:vAlign w:val="center"/>
          </w:tcPr>
          <w:p>
            <w:pPr>
              <w:pStyle w:val="TableContents"/>
              <w:suppressLineNumbers/>
              <w:bidi w:val="0"/>
              <w:spacing w:before="0" w:after="40"/>
              <w:ind w:hanging="0" w:start="43" w:end="43"/>
              <w:rPr/>
            </w:pPr>
            <w:r>
              <w:rPr>
                <w:sz w:val="19"/>
              </w:rPr>
              <w:t>Que danos são possíveis?</w:t>
            </w:r>
          </w:p>
        </w:tc>
        <w:tc>
          <w:tcPr>
            <w:tcW w:w="3120" w:type="dxa"/>
            <w:tcBorders/>
            <w:vAlign w:val="center"/>
          </w:tcPr>
          <w:p>
            <w:pPr>
              <w:pStyle w:val="TableContents"/>
              <w:suppressLineNumbers/>
              <w:bidi w:val="0"/>
              <w:spacing w:before="0" w:after="40"/>
              <w:ind w:hanging="0" w:start="43" w:end="43"/>
              <w:rPr/>
            </w:pPr>
            <w:r>
              <w:rPr>
                <w:sz w:val="19"/>
              </w:rPr>
              <w:t>Avaliações atuais de risco e impacto com pessoas afetadas e alternativas</w:t>
            </w:r>
          </w:p>
        </w:tc>
        <w:tc>
          <w:tcPr>
            <w:tcW w:w="3120" w:type="dxa"/>
            <w:tcBorders/>
            <w:vAlign w:val="center"/>
          </w:tcPr>
          <w:p>
            <w:pPr>
              <w:pStyle w:val="TableContents"/>
              <w:suppressLineNumbers/>
              <w:bidi w:val="0"/>
              <w:spacing w:before="0" w:after="40"/>
              <w:ind w:hanging="0" w:start="43" w:end="43"/>
              <w:rPr/>
            </w:pPr>
            <w:r>
              <w:rPr>
                <w:sz w:val="19"/>
              </w:rPr>
              <w:t>Apenas precisão do modelo considerada</w:t>
            </w:r>
          </w:p>
        </w:tc>
      </w:tr>
      <w:tr>
        <w:trPr>
          <w:cantSplit/>
        </w:trPr>
        <w:tc>
          <w:tcPr>
            <w:tcW w:w="3120" w:type="dxa"/>
            <w:tcBorders/>
            <w:vAlign w:val="center"/>
          </w:tcPr>
          <w:p>
            <w:pPr>
              <w:pStyle w:val="TableContents"/>
              <w:suppressLineNumbers/>
              <w:bidi w:val="0"/>
              <w:spacing w:before="0" w:after="40"/>
              <w:ind w:hanging="0" w:start="43" w:end="43"/>
              <w:rPr/>
            </w:pPr>
            <w:r>
              <w:rPr>
                <w:sz w:val="19"/>
              </w:rPr>
              <w:t>O que comprova prontidão?</w:t>
            </w:r>
          </w:p>
        </w:tc>
        <w:tc>
          <w:tcPr>
            <w:tcW w:w="3120" w:type="dxa"/>
            <w:tcBorders/>
            <w:vAlign w:val="center"/>
          </w:tcPr>
          <w:p>
            <w:pPr>
              <w:pStyle w:val="TableContents"/>
              <w:suppressLineNumbers/>
              <w:bidi w:val="0"/>
              <w:spacing w:before="0" w:after="40"/>
              <w:ind w:hanging="0" w:start="43" w:end="43"/>
              <w:rPr/>
            </w:pPr>
            <w:r>
              <w:rPr>
                <w:sz w:val="19"/>
              </w:rPr>
              <w:t>Avaliação versionada e semelhante à produção, limites, falhas, supervisão e rollback</w:t>
            </w:r>
          </w:p>
        </w:tc>
        <w:tc>
          <w:tcPr>
            <w:tcW w:w="3120" w:type="dxa"/>
            <w:tcBorders/>
            <w:vAlign w:val="center"/>
          </w:tcPr>
          <w:p>
            <w:pPr>
              <w:pStyle w:val="TableContents"/>
              <w:suppressLineNumbers/>
              <w:bidi w:val="0"/>
              <w:spacing w:before="0" w:after="40"/>
              <w:ind w:hanging="0" w:start="43" w:end="43"/>
              <w:rPr/>
            </w:pPr>
            <w:r>
              <w:rPr>
                <w:sz w:val="19"/>
              </w:rPr>
              <w:t>Apenas demonstração do fornecedor ou política</w:t>
            </w:r>
          </w:p>
        </w:tc>
      </w:tr>
      <w:tr>
        <w:trPr>
          <w:cantSplit/>
        </w:trPr>
        <w:tc>
          <w:tcPr>
            <w:tcW w:w="3120" w:type="dxa"/>
            <w:tcBorders/>
            <w:vAlign w:val="center"/>
          </w:tcPr>
          <w:p>
            <w:pPr>
              <w:pStyle w:val="TableContents"/>
              <w:suppressLineNumbers/>
              <w:bidi w:val="0"/>
              <w:spacing w:before="0" w:after="40"/>
              <w:ind w:hanging="0" w:start="43" w:end="43"/>
              <w:rPr/>
            </w:pPr>
            <w:r>
              <w:rPr>
                <w:sz w:val="19"/>
              </w:rPr>
              <w:t>O que muda o risco?</w:t>
            </w:r>
          </w:p>
        </w:tc>
        <w:tc>
          <w:tcPr>
            <w:tcW w:w="3120" w:type="dxa"/>
            <w:tcBorders/>
            <w:vAlign w:val="center"/>
          </w:tcPr>
          <w:p>
            <w:pPr>
              <w:pStyle w:val="TableContents"/>
              <w:suppressLineNumbers/>
              <w:bidi w:val="0"/>
              <w:spacing w:before="0" w:after="40"/>
              <w:ind w:hanging="0" w:start="43" w:end="43"/>
              <w:rPr/>
            </w:pPr>
            <w:r>
              <w:rPr>
                <w:sz w:val="19"/>
              </w:rPr>
              <w:t>Lista de gatilhos, monitoramento, aviso de fornecedor, regressão e reavaliação</w:t>
            </w:r>
          </w:p>
        </w:tc>
        <w:tc>
          <w:tcPr>
            <w:tcW w:w="3120" w:type="dxa"/>
            <w:tcBorders/>
            <w:vAlign w:val="center"/>
          </w:tcPr>
          <w:p>
            <w:pPr>
              <w:pStyle w:val="TableContents"/>
              <w:suppressLineNumbers/>
              <w:bidi w:val="0"/>
              <w:spacing w:before="0" w:after="40"/>
              <w:ind w:hanging="0" w:start="43" w:end="43"/>
              <w:rPr/>
            </w:pPr>
            <w:r>
              <w:rPr>
                <w:sz w:val="19"/>
              </w:rPr>
              <w:t>Atualizações automáticas sem revisão</w:t>
            </w:r>
          </w:p>
        </w:tc>
      </w:tr>
      <w:tr>
        <w:trPr>
          <w:cantSplit/>
        </w:trPr>
        <w:tc>
          <w:tcPr>
            <w:tcW w:w="3120" w:type="dxa"/>
            <w:tcBorders/>
            <w:vAlign w:val="center"/>
          </w:tcPr>
          <w:p>
            <w:pPr>
              <w:pStyle w:val="TableContents"/>
              <w:suppressLineNumbers/>
              <w:bidi w:val="0"/>
              <w:spacing w:before="0" w:after="40"/>
              <w:ind w:hanging="0" w:start="43" w:end="43"/>
              <w:rPr/>
            </w:pPr>
            <w:r>
              <w:rPr>
                <w:sz w:val="19"/>
              </w:rPr>
              <w:t>O SGIA está melhorando?</w:t>
            </w:r>
          </w:p>
        </w:tc>
        <w:tc>
          <w:tcPr>
            <w:tcW w:w="3120" w:type="dxa"/>
            <w:tcBorders/>
            <w:vAlign w:val="center"/>
          </w:tcPr>
          <w:p>
            <w:pPr>
              <w:pStyle w:val="TableContents"/>
              <w:suppressLineNumbers/>
              <w:bidi w:val="0"/>
              <w:spacing w:before="0" w:after="40"/>
              <w:ind w:hanging="0" w:start="43" w:end="43"/>
              <w:rPr/>
            </w:pPr>
            <w:r>
              <w:rPr>
                <w:sz w:val="19"/>
              </w:rPr>
              <w:t>Objetivos, auditoria, reclamações/incidentes, causas-raiz e ações eficazes</w:t>
            </w:r>
          </w:p>
        </w:tc>
        <w:tc>
          <w:tcPr>
            <w:tcW w:w="3120" w:type="dxa"/>
            <w:tcBorders/>
            <w:vAlign w:val="center"/>
          </w:tcPr>
          <w:p>
            <w:pPr>
              <w:pStyle w:val="TableContents"/>
              <w:suppressLineNumbers/>
              <w:bidi w:val="0"/>
              <w:spacing w:before="0" w:after="40"/>
              <w:ind w:hanging="0" w:start="43" w:end="43"/>
              <w:rPr/>
            </w:pPr>
            <w:r>
              <w:rPr>
                <w:sz w:val="19"/>
              </w:rPr>
              <w:t>Certificado é a única medida de sucesso</w:t>
            </w:r>
          </w:p>
        </w:tc>
      </w:tr>
    </w:tbl>
    <w:p>
      <w:pPr>
        <w:pStyle w:val="Heading2"/>
        <w:tabs>
          <w:tab w:val="clear" w:pos="709"/>
          <w:tab w:val="left" w:pos="0" w:leader="none"/>
        </w:tabs>
        <w:bidi w:val="0"/>
        <w:ind w:hanging="0" w:start="0"/>
        <w:jc w:val="left"/>
        <w:rPr/>
        <w:keepNext/>
      </w:pPr>
      <w:bookmarkStart w:id="103" w:name="trabalho-do-analista-júnior"/>
      <w:r>
        <w:rPr/>
        <w:t>31.2 Trabalho do analista júnior</w:t>
      </w:r>
      <w:bookmarkEnd w:id="103"/>
    </w:p>
    <w:p>
      <w:pPr>
        <w:pStyle w:val="BodyText"/>
        <w:numPr>
          <w:ilvl w:val="0"/>
          <w:numId w:val="47"/>
        </w:numPr>
        <w:bidi w:val="0"/>
        <w:spacing w:before="0" w:after="0"/>
        <w:rPr/>
      </w:pPr>
      <w:r>
        <w:rPr/>
        <w:t>Mantenha inventário de IA, escopo, partes interessadas, obrigações, registros de risco/impacto, Declaração de Aplicabilidade, registros de fornecedores, objetivos, evidências e ações.</w:t>
      </w:r>
    </w:p>
    <w:p>
      <w:pPr>
        <w:pStyle w:val="BodyText"/>
        <w:numPr>
          <w:ilvl w:val="0"/>
          <w:numId w:val="47"/>
        </w:numPr>
        <w:bidi w:val="0"/>
        <w:spacing w:before="0" w:after="0"/>
        <w:rPr/>
      </w:pPr>
      <w:r>
        <w:rPr/>
        <w:t>Mapeie cláusulas/controles para processos e evidências reais do sistema; reconcilie populações e versões.</w:t>
      </w:r>
    </w:p>
    <w:p>
      <w:pPr>
        <w:pStyle w:val="BodyText"/>
        <w:numPr>
          <w:ilvl w:val="0"/>
          <w:numId w:val="47"/>
        </w:numPr>
        <w:bidi w:val="0"/>
        <w:spacing w:before="0" w:after="0"/>
        <w:rPr/>
      </w:pPr>
      <w:r>
        <w:rPr/>
        <w:t>Teste controle documental, competência, marcos do ciclo de vida, linhagem/qualidade de dados, avaliação, uso responsável, mudança de fornecedores, monitoramento, incidentes e ação corretiva.</w:t>
      </w:r>
    </w:p>
    <w:p>
      <w:pPr>
        <w:pStyle w:val="BodyText"/>
        <w:numPr>
          <w:ilvl w:val="0"/>
          <w:numId w:val="47"/>
        </w:numPr>
        <w:bidi w:val="0"/>
        <w:spacing w:before="0" w:after="0"/>
        <w:rPr/>
      </w:pPr>
      <w:r>
        <w:rPr/>
        <w:t>Redija constatações objetivas e resumos para gestores; acompanhe correção e reteste de eficácia.</w:t>
      </w:r>
    </w:p>
    <w:p>
      <w:pPr>
        <w:pStyle w:val="BodyText"/>
        <w:numPr>
          <w:ilvl w:val="0"/>
          <w:numId w:val="47"/>
        </w:numPr>
        <w:bidi w:val="0"/>
        <w:spacing w:before="0" w:after="0"/>
        <w:rPr/>
      </w:pPr>
      <w:r>
        <w:rPr/>
        <w:t>Apoie auditorias internas e análise crítica pela direção sem tomar decisões reservadas a proprietários ou auditores.</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Regra do laboratório de portfólio:</w:t>
      </w:r>
      <w:r>
        <w:rPr/>
        <w:t xml:space="preserve"> Use organização fictícia, dados sintéticos e modelos locais ou de teste aprovados. Nunca alegue que o projeto é certificado, auditado por organismo acreditado ou baseado em evidências confidenciais de empregador.</w:t>
      </w:r>
    </w:p>
    <w:p>
      <w:pPr>
        <w:pStyle w:val="Heading2"/>
        <w:tabs>
          <w:tab w:val="clear" w:pos="709"/>
          <w:tab w:val="left" w:pos="0" w:leader="none"/>
        </w:tabs>
        <w:bidi w:val="0"/>
        <w:ind w:hanging="0" w:start="0"/>
        <w:jc w:val="left"/>
        <w:rPr/>
        <w:keepNext/>
      </w:pPr>
      <w:bookmarkStart w:id="104" w:name="laboratório-fictício"/>
      <w:r>
        <w:rPr/>
        <w:t>31.3 Laboratório fictício</w:t>
      </w:r>
      <w:bookmarkEnd w:id="104"/>
    </w:p>
    <w:p>
      <w:pPr>
        <w:pStyle w:val="BodyText"/>
        <w:numPr>
          <w:ilvl w:val="0"/>
          <w:numId w:val="48"/>
        </w:numPr>
        <w:bidi w:val="0"/>
        <w:spacing w:before="0" w:after="0"/>
        <w:rPr/>
      </w:pPr>
      <w:r>
        <w:rPr/>
        <w:t>Crie empresa fictícia de 100 pessoas que desenvolve assistente RAG de suporte ao cliente e usa assistente adquirido para redação de RH que não pode tomar decisões de emprego.</w:t>
      </w:r>
    </w:p>
    <w:p>
      <w:pPr>
        <w:pStyle w:val="BodyText"/>
        <w:numPr>
          <w:ilvl w:val="0"/>
          <w:numId w:val="48"/>
        </w:numPr>
        <w:bidi w:val="0"/>
        <w:spacing w:before="0" w:after="0"/>
        <w:rPr/>
      </w:pPr>
      <w:r>
        <w:rPr/>
        <w:t>Defina contexto do SGIA, partes interessadas, papéis, escopo, política, mapa de processos, inventário de IA, obrigações e roteiro de implementação.</w:t>
      </w:r>
    </w:p>
    <w:p>
      <w:pPr>
        <w:pStyle w:val="BodyText"/>
        <w:numPr>
          <w:ilvl w:val="0"/>
          <w:numId w:val="48"/>
        </w:numPr>
        <w:bidi w:val="0"/>
        <w:spacing w:before="0" w:after="0"/>
        <w:rPr/>
      </w:pPr>
      <w:r>
        <w:rPr/>
        <w:t>Crie método de risco, seis cenários, plano de tratamento, Declaração de Aplicabilidade de 38 controles e duas avaliações de impacto usando conceitos da ISO/IEC 42005.</w:t>
      </w:r>
    </w:p>
    <w:p>
      <w:pPr>
        <w:pStyle w:val="BodyText"/>
        <w:numPr>
          <w:ilvl w:val="0"/>
          <w:numId w:val="48"/>
        </w:numPr>
        <w:bidi w:val="0"/>
        <w:spacing w:before="0" w:after="0"/>
        <w:rPr/>
      </w:pPr>
      <w:r>
        <w:rPr/>
        <w:t>Construa registros de recursos, conjuntos de dados, modelo/sistema, fornecedores, informação ao usuário, comunicação, competência e controle documental.</w:t>
      </w:r>
    </w:p>
    <w:p>
      <w:pPr>
        <w:pStyle w:val="BodyText"/>
        <w:numPr>
          <w:ilvl w:val="0"/>
          <w:numId w:val="48"/>
        </w:numPr>
        <w:bidi w:val="0"/>
        <w:spacing w:before="0" w:after="0"/>
        <w:rPr/>
      </w:pPr>
      <w:r>
        <w:rPr/>
        <w:t>Execute avaliações sintéticas com duas ferramentas de código aberto; preserve versões, limites, falhas, correção e reteste.</w:t>
      </w:r>
    </w:p>
    <w:p>
      <w:pPr>
        <w:pStyle w:val="BodyText"/>
        <w:numPr>
          <w:ilvl w:val="0"/>
          <w:numId w:val="48"/>
        </w:numPr>
        <w:bidi w:val="0"/>
        <w:spacing w:before="0" w:after="0"/>
        <w:rPr/>
      </w:pPr>
      <w:r>
        <w:rPr/>
        <w:t>Crie objetivos/painel, plano de auditoria interna e cinco papéis de trabalho, duas constatações, ações corretivas, pacote de análise crítica pela direção e relatório de prontidão para certificação.</w:t>
      </w:r>
    </w:p>
    <w:p>
      <w:pPr>
        <w:pStyle w:val="BodyText"/>
        <w:numPr>
          <w:ilvl w:val="0"/>
          <w:numId w:val="48"/>
        </w:numPr>
        <w:bidi w:val="0"/>
        <w:spacing w:before="0" w:after="0"/>
        <w:rPr/>
      </w:pPr>
      <w:r>
        <w:rPr/>
        <w:t>Publique apenas evidências fictícias sanitizadas e declaração honesta de limitações.</w:t>
      </w:r>
    </w:p>
    <w:p>
      <w:pPr>
        <w:pStyle w:val="Heading2"/>
        <w:tabs>
          <w:tab w:val="clear" w:pos="709"/>
          <w:tab w:val="left" w:pos="0" w:leader="none"/>
        </w:tabs>
        <w:bidi w:val="0"/>
        <w:ind w:hanging="0" w:start="0"/>
        <w:jc w:val="left"/>
        <w:rPr/>
        <w:keepNext/>
      </w:pPr>
      <w:bookmarkStart w:id="105" w:name="plano-de-trinta-dias"/>
      <w:r>
        <w:rPr/>
        <w:t>31.4 Plano de trinta dias</w:t>
      </w:r>
      <w:bookmarkEnd w:id="105"/>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Dias</w:t>
            </w:r>
          </w:p>
        </w:tc>
        <w:tc>
          <w:tcPr>
            <w:tcW w:w="3120" w:type="dxa"/>
            <w:tcBorders/>
            <w:vAlign w:val="center"/>
            <w:shd w:fill="1F4E78"/>
          </w:tcPr>
          <w:p>
            <w:pPr>
              <w:pStyle w:val="TableHeading"/>
              <w:bidi w:val="0"/>
              <w:spacing w:before="0" w:after="40"/>
              <w:rPr>
                <w:b/>
                <w:bCs/>
              </w:rPr>
            </w:pPr>
            <w:r>
              <w:rPr>
                <w:b/>
                <w:bCs/>
                <w:sz w:val="19"/>
                <w:color w:val="FFFFFF"/>
              </w:rPr>
              <w:t>Foco</w:t>
            </w:r>
          </w:p>
        </w:tc>
        <w:tc>
          <w:tcPr>
            <w:tcW w:w="3120" w:type="dxa"/>
            <w:tcBorders/>
            <w:vAlign w:val="center"/>
            <w:shd w:fill="1F4E78"/>
          </w:tcPr>
          <w:p>
            <w:pPr>
              <w:pStyle w:val="TableHeading"/>
              <w:bidi w:val="0"/>
              <w:spacing w:before="0" w:after="40"/>
              <w:rPr>
                <w:b/>
                <w:bCs/>
              </w:rPr>
            </w:pPr>
            <w:r>
              <w:rPr>
                <w:b/>
                <w:bCs/>
                <w:sz w:val="19"/>
                <w:color w:val="FFFFFF"/>
              </w:rPr>
              <w:t>Entregável</w:t>
            </w:r>
          </w:p>
        </w:tc>
      </w:tr>
      <w:tr>
        <w:trPr>
          <w:cantSplit/>
        </w:trPr>
        <w:tc>
          <w:tcPr>
            <w:tcW w:w="3120" w:type="dxa"/>
            <w:tcBorders/>
            <w:vAlign w:val="center"/>
          </w:tcPr>
          <w:p>
            <w:pPr>
              <w:pStyle w:val="TableContents"/>
              <w:suppressLineNumbers/>
              <w:bidi w:val="0"/>
              <w:spacing w:before="0" w:after="40"/>
              <w:ind w:hanging="0" w:start="43" w:end="43"/>
              <w:rPr/>
            </w:pPr>
            <w:r>
              <w:rPr>
                <w:sz w:val="19"/>
              </w:rPr>
              <w:t>1–3</w:t>
            </w:r>
          </w:p>
        </w:tc>
        <w:tc>
          <w:tcPr>
            <w:tcW w:w="3120" w:type="dxa"/>
            <w:tcBorders/>
            <w:vAlign w:val="center"/>
          </w:tcPr>
          <w:p>
            <w:pPr>
              <w:pStyle w:val="TableContents"/>
              <w:suppressLineNumbers/>
              <w:bidi w:val="0"/>
              <w:spacing w:before="0" w:after="40"/>
              <w:ind w:hanging="0" w:start="43" w:end="43"/>
              <w:rPr/>
            </w:pPr>
            <w:r>
              <w:rPr>
                <w:sz w:val="19"/>
              </w:rPr>
              <w:t>Norma, SGIA, PDCA</w:t>
            </w:r>
          </w:p>
        </w:tc>
        <w:tc>
          <w:tcPr>
            <w:tcW w:w="3120" w:type="dxa"/>
            <w:tcBorders/>
            <w:vAlign w:val="center"/>
          </w:tcPr>
          <w:p>
            <w:pPr>
              <w:pStyle w:val="TableContents"/>
              <w:suppressLineNumbers/>
              <w:bidi w:val="0"/>
              <w:spacing w:before="0" w:after="40"/>
              <w:ind w:hanging="0" w:start="43" w:end="43"/>
              <w:rPr/>
            </w:pPr>
            <w:r>
              <w:rPr>
                <w:sz w:val="19"/>
              </w:rPr>
              <w:t>Mapa de cláusulas e glossário</w:t>
            </w:r>
          </w:p>
        </w:tc>
      </w:tr>
      <w:tr>
        <w:trPr>
          <w:cantSplit/>
        </w:trPr>
        <w:tc>
          <w:tcPr>
            <w:tcW w:w="3120" w:type="dxa"/>
            <w:tcBorders/>
            <w:vAlign w:val="center"/>
          </w:tcPr>
          <w:p>
            <w:pPr>
              <w:pStyle w:val="TableContents"/>
              <w:suppressLineNumbers/>
              <w:bidi w:val="0"/>
              <w:spacing w:before="0" w:after="40"/>
              <w:ind w:hanging="0" w:start="43" w:end="43"/>
              <w:rPr/>
            </w:pPr>
            <w:r>
              <w:rPr>
                <w:sz w:val="19"/>
              </w:rPr>
              <w:t>4–6</w:t>
            </w:r>
          </w:p>
        </w:tc>
        <w:tc>
          <w:tcPr>
            <w:tcW w:w="3120" w:type="dxa"/>
            <w:tcBorders/>
            <w:vAlign w:val="center"/>
          </w:tcPr>
          <w:p>
            <w:pPr>
              <w:pStyle w:val="TableContents"/>
              <w:suppressLineNumbers/>
              <w:bidi w:val="0"/>
              <w:spacing w:before="0" w:after="40"/>
              <w:ind w:hanging="0" w:start="43" w:end="43"/>
              <w:rPr/>
            </w:pPr>
            <w:r>
              <w:rPr>
                <w:sz w:val="19"/>
              </w:rPr>
              <w:t>Contexto, partes, escopo</w:t>
            </w:r>
          </w:p>
        </w:tc>
        <w:tc>
          <w:tcPr>
            <w:tcW w:w="3120" w:type="dxa"/>
            <w:tcBorders/>
            <w:vAlign w:val="center"/>
          </w:tcPr>
          <w:p>
            <w:pPr>
              <w:pStyle w:val="TableContents"/>
              <w:suppressLineNumbers/>
              <w:bidi w:val="0"/>
              <w:spacing w:before="0" w:after="40"/>
              <w:ind w:hanging="0" w:start="43" w:end="43"/>
              <w:rPr/>
            </w:pPr>
            <w:r>
              <w:rPr>
                <w:sz w:val="19"/>
              </w:rPr>
              <w:t>Escopo e registro de partes interessadas</w:t>
            </w:r>
          </w:p>
        </w:tc>
      </w:tr>
      <w:tr>
        <w:trPr>
          <w:cantSplit/>
        </w:trPr>
        <w:tc>
          <w:tcPr>
            <w:tcW w:w="3120" w:type="dxa"/>
            <w:tcBorders/>
            <w:vAlign w:val="center"/>
          </w:tcPr>
          <w:p>
            <w:pPr>
              <w:pStyle w:val="TableContents"/>
              <w:suppressLineNumbers/>
              <w:bidi w:val="0"/>
              <w:spacing w:before="0" w:after="40"/>
              <w:ind w:hanging="0" w:start="43" w:end="43"/>
              <w:rPr/>
            </w:pPr>
            <w:r>
              <w:rPr>
                <w:sz w:val="19"/>
              </w:rPr>
              <w:t>7–9</w:t>
            </w:r>
          </w:p>
        </w:tc>
        <w:tc>
          <w:tcPr>
            <w:tcW w:w="3120" w:type="dxa"/>
            <w:tcBorders/>
            <w:vAlign w:val="center"/>
          </w:tcPr>
          <w:p>
            <w:pPr>
              <w:pStyle w:val="TableContents"/>
              <w:suppressLineNumbers/>
              <w:bidi w:val="0"/>
              <w:spacing w:before="0" w:after="40"/>
              <w:ind w:hanging="0" w:start="43" w:end="43"/>
              <w:rPr/>
            </w:pPr>
            <w:r>
              <w:rPr>
                <w:sz w:val="19"/>
              </w:rPr>
              <w:t>Liderança e planejamento</w:t>
            </w:r>
          </w:p>
        </w:tc>
        <w:tc>
          <w:tcPr>
            <w:tcW w:w="3120" w:type="dxa"/>
            <w:tcBorders/>
            <w:vAlign w:val="center"/>
          </w:tcPr>
          <w:p>
            <w:pPr>
              <w:pStyle w:val="TableContents"/>
              <w:suppressLineNumbers/>
              <w:bidi w:val="0"/>
              <w:spacing w:before="0" w:after="40"/>
              <w:ind w:hanging="0" w:start="43" w:end="43"/>
              <w:rPr/>
            </w:pPr>
            <w:r>
              <w:rPr>
                <w:sz w:val="19"/>
              </w:rPr>
              <w:t>Política, RACI e objetivos</w:t>
            </w:r>
          </w:p>
        </w:tc>
      </w:tr>
      <w:tr>
        <w:trPr>
          <w:cantSplit/>
        </w:trPr>
        <w:tc>
          <w:tcPr>
            <w:tcW w:w="3120" w:type="dxa"/>
            <w:tcBorders/>
            <w:vAlign w:val="center"/>
          </w:tcPr>
          <w:p>
            <w:pPr>
              <w:pStyle w:val="TableContents"/>
              <w:suppressLineNumbers/>
              <w:bidi w:val="0"/>
              <w:spacing w:before="0" w:after="40"/>
              <w:ind w:hanging="0" w:start="43" w:end="43"/>
              <w:rPr/>
            </w:pPr>
            <w:r>
              <w:rPr>
                <w:sz w:val="19"/>
              </w:rPr>
              <w:t>10–12</w:t>
            </w:r>
          </w:p>
        </w:tc>
        <w:tc>
          <w:tcPr>
            <w:tcW w:w="3120" w:type="dxa"/>
            <w:tcBorders/>
            <w:vAlign w:val="center"/>
          </w:tcPr>
          <w:p>
            <w:pPr>
              <w:pStyle w:val="TableContents"/>
              <w:suppressLineNumbers/>
              <w:bidi w:val="0"/>
              <w:spacing w:before="0" w:after="40"/>
              <w:ind w:hanging="0" w:start="43" w:end="43"/>
              <w:rPr/>
            </w:pPr>
            <w:r>
              <w:rPr>
                <w:sz w:val="19"/>
              </w:rPr>
              <w:t>Risco e tratamento</w:t>
            </w:r>
          </w:p>
        </w:tc>
        <w:tc>
          <w:tcPr>
            <w:tcW w:w="3120" w:type="dxa"/>
            <w:tcBorders/>
            <w:vAlign w:val="center"/>
          </w:tcPr>
          <w:p>
            <w:pPr>
              <w:pStyle w:val="TableContents"/>
              <w:suppressLineNumbers/>
              <w:bidi w:val="0"/>
              <w:spacing w:before="0" w:after="40"/>
              <w:ind w:hanging="0" w:start="43" w:end="43"/>
              <w:rPr/>
            </w:pPr>
            <w:r>
              <w:rPr>
                <w:sz w:val="19"/>
              </w:rPr>
              <w:t>Método, registro, plano e Declaração de Aplicabilidade</w:t>
            </w:r>
          </w:p>
        </w:tc>
      </w:tr>
      <w:tr>
        <w:trPr>
          <w:cantSplit/>
        </w:trPr>
        <w:tc>
          <w:tcPr>
            <w:tcW w:w="3120" w:type="dxa"/>
            <w:tcBorders/>
            <w:vAlign w:val="center"/>
          </w:tcPr>
          <w:p>
            <w:pPr>
              <w:pStyle w:val="TableContents"/>
              <w:suppressLineNumbers/>
              <w:bidi w:val="0"/>
              <w:spacing w:before="0" w:after="40"/>
              <w:ind w:hanging="0" w:start="43" w:end="43"/>
              <w:rPr/>
            </w:pPr>
            <w:r>
              <w:rPr>
                <w:sz w:val="19"/>
              </w:rPr>
              <w:t>13–15</w:t>
            </w:r>
          </w:p>
        </w:tc>
        <w:tc>
          <w:tcPr>
            <w:tcW w:w="3120" w:type="dxa"/>
            <w:tcBorders/>
            <w:vAlign w:val="center"/>
          </w:tcPr>
          <w:p>
            <w:pPr>
              <w:pStyle w:val="TableContents"/>
              <w:suppressLineNumbers/>
              <w:bidi w:val="0"/>
              <w:spacing w:before="0" w:after="40"/>
              <w:ind w:hanging="0" w:start="43" w:end="43"/>
              <w:rPr/>
            </w:pPr>
            <w:r>
              <w:rPr>
                <w:sz w:val="19"/>
              </w:rPr>
              <w:t>Avaliação de impacto</w:t>
            </w:r>
          </w:p>
        </w:tc>
        <w:tc>
          <w:tcPr>
            <w:tcW w:w="3120" w:type="dxa"/>
            <w:tcBorders/>
            <w:vAlign w:val="center"/>
          </w:tcPr>
          <w:p>
            <w:pPr>
              <w:pStyle w:val="TableContents"/>
              <w:suppressLineNumbers/>
              <w:bidi w:val="0"/>
              <w:spacing w:before="0" w:after="40"/>
              <w:ind w:hanging="0" w:start="43" w:end="43"/>
              <w:rPr/>
            </w:pPr>
            <w:r>
              <w:rPr>
                <w:sz w:val="19"/>
              </w:rPr>
              <w:t>Dois papéis de trabalho de impacto</w:t>
            </w:r>
          </w:p>
        </w:tc>
      </w:tr>
      <w:tr>
        <w:trPr>
          <w:cantSplit/>
        </w:trPr>
        <w:tc>
          <w:tcPr>
            <w:tcW w:w="3120" w:type="dxa"/>
            <w:tcBorders/>
            <w:vAlign w:val="center"/>
          </w:tcPr>
          <w:p>
            <w:pPr>
              <w:pStyle w:val="TableContents"/>
              <w:suppressLineNumbers/>
              <w:bidi w:val="0"/>
              <w:spacing w:before="0" w:after="40"/>
              <w:ind w:hanging="0" w:start="43" w:end="43"/>
              <w:rPr/>
            </w:pPr>
            <w:r>
              <w:rPr>
                <w:sz w:val="19"/>
              </w:rPr>
              <w:t>16–18</w:t>
            </w:r>
          </w:p>
        </w:tc>
        <w:tc>
          <w:tcPr>
            <w:tcW w:w="3120" w:type="dxa"/>
            <w:tcBorders/>
            <w:vAlign w:val="center"/>
          </w:tcPr>
          <w:p>
            <w:pPr>
              <w:pStyle w:val="TableContents"/>
              <w:suppressLineNumbers/>
              <w:bidi w:val="0"/>
              <w:spacing w:before="0" w:after="40"/>
              <w:ind w:hanging="0" w:start="43" w:end="43"/>
              <w:rPr/>
            </w:pPr>
            <w:r>
              <w:rPr>
                <w:sz w:val="19"/>
              </w:rPr>
              <w:t>Suporte e documentos</w:t>
            </w:r>
          </w:p>
        </w:tc>
        <w:tc>
          <w:tcPr>
            <w:tcW w:w="3120" w:type="dxa"/>
            <w:tcBorders/>
            <w:vAlign w:val="center"/>
          </w:tcPr>
          <w:p>
            <w:pPr>
              <w:pStyle w:val="TableContents"/>
              <w:suppressLineNumbers/>
              <w:bidi w:val="0"/>
              <w:spacing w:before="0" w:after="40"/>
              <w:ind w:hanging="0" w:start="43" w:end="43"/>
              <w:rPr/>
            </w:pPr>
            <w:r>
              <w:rPr>
                <w:sz w:val="19"/>
              </w:rPr>
              <w:t>Competência, comunicação e controles documentais</w:t>
            </w:r>
          </w:p>
        </w:tc>
      </w:tr>
      <w:tr>
        <w:trPr>
          <w:cantSplit/>
        </w:trPr>
        <w:tc>
          <w:tcPr>
            <w:tcW w:w="3120" w:type="dxa"/>
            <w:tcBorders/>
            <w:vAlign w:val="center"/>
          </w:tcPr>
          <w:p>
            <w:pPr>
              <w:pStyle w:val="TableContents"/>
              <w:suppressLineNumbers/>
              <w:bidi w:val="0"/>
              <w:spacing w:before="0" w:after="40"/>
              <w:ind w:hanging="0" w:start="43" w:end="43"/>
              <w:rPr/>
            </w:pPr>
            <w:r>
              <w:rPr>
                <w:sz w:val="19"/>
              </w:rPr>
              <w:t>19–21</w:t>
            </w:r>
          </w:p>
        </w:tc>
        <w:tc>
          <w:tcPr>
            <w:tcW w:w="3120" w:type="dxa"/>
            <w:tcBorders/>
            <w:vAlign w:val="center"/>
          </w:tcPr>
          <w:p>
            <w:pPr>
              <w:pStyle w:val="TableContents"/>
              <w:suppressLineNumbers/>
              <w:bidi w:val="0"/>
              <w:spacing w:before="0" w:after="40"/>
              <w:ind w:hanging="0" w:start="43" w:end="43"/>
              <w:rPr/>
            </w:pPr>
            <w:r>
              <w:rPr>
                <w:sz w:val="19"/>
              </w:rPr>
              <w:t>Ciclo de vida, dados, uso e fornecedores</w:t>
            </w:r>
          </w:p>
        </w:tc>
        <w:tc>
          <w:tcPr>
            <w:tcW w:w="3120" w:type="dxa"/>
            <w:tcBorders/>
            <w:vAlign w:val="center"/>
          </w:tcPr>
          <w:p>
            <w:pPr>
              <w:pStyle w:val="TableContents"/>
              <w:suppressLineNumbers/>
              <w:bidi w:val="0"/>
              <w:spacing w:before="0" w:after="40"/>
              <w:ind w:hanging="0" w:start="43" w:end="43"/>
              <w:rPr/>
            </w:pPr>
            <w:r>
              <w:rPr>
                <w:sz w:val="19"/>
              </w:rPr>
              <w:t>Cinco papéis de trabalho de controles</w:t>
            </w:r>
          </w:p>
        </w:tc>
      </w:tr>
      <w:tr>
        <w:trPr>
          <w:cantSplit/>
        </w:trPr>
        <w:tc>
          <w:tcPr>
            <w:tcW w:w="3120" w:type="dxa"/>
            <w:tcBorders/>
            <w:vAlign w:val="center"/>
          </w:tcPr>
          <w:p>
            <w:pPr>
              <w:pStyle w:val="TableContents"/>
              <w:suppressLineNumbers/>
              <w:bidi w:val="0"/>
              <w:spacing w:before="0" w:after="40"/>
              <w:ind w:hanging="0" w:start="43" w:end="43"/>
              <w:rPr/>
            </w:pPr>
            <w:r>
              <w:rPr>
                <w:sz w:val="19"/>
              </w:rPr>
              <w:t>22–24</w:t>
            </w:r>
          </w:p>
        </w:tc>
        <w:tc>
          <w:tcPr>
            <w:tcW w:w="3120" w:type="dxa"/>
            <w:tcBorders/>
            <w:vAlign w:val="center"/>
          </w:tcPr>
          <w:p>
            <w:pPr>
              <w:pStyle w:val="TableContents"/>
              <w:suppressLineNumbers/>
              <w:bidi w:val="0"/>
              <w:spacing w:before="0" w:after="40"/>
              <w:ind w:hanging="0" w:start="43" w:end="43"/>
              <w:rPr/>
            </w:pPr>
            <w:r>
              <w:rPr>
                <w:sz w:val="19"/>
              </w:rPr>
              <w:t>Medição e ferramentas</w:t>
            </w:r>
          </w:p>
        </w:tc>
        <w:tc>
          <w:tcPr>
            <w:tcW w:w="3120" w:type="dxa"/>
            <w:tcBorders/>
            <w:vAlign w:val="center"/>
          </w:tcPr>
          <w:p>
            <w:pPr>
              <w:pStyle w:val="TableContents"/>
              <w:suppressLineNumbers/>
              <w:bidi w:val="0"/>
              <w:spacing w:before="0" w:after="40"/>
              <w:ind w:hanging="0" w:start="43" w:end="43"/>
              <w:rPr/>
            </w:pPr>
            <w:r>
              <w:rPr>
                <w:sz w:val="19"/>
              </w:rPr>
              <w:t>Painel e evidências de avaliação</w:t>
            </w:r>
          </w:p>
        </w:tc>
      </w:tr>
      <w:tr>
        <w:trPr>
          <w:cantSplit/>
        </w:trPr>
        <w:tc>
          <w:tcPr>
            <w:tcW w:w="3120" w:type="dxa"/>
            <w:tcBorders/>
            <w:vAlign w:val="center"/>
          </w:tcPr>
          <w:p>
            <w:pPr>
              <w:pStyle w:val="TableContents"/>
              <w:suppressLineNumbers/>
              <w:bidi w:val="0"/>
              <w:spacing w:before="0" w:after="40"/>
              <w:ind w:hanging="0" w:start="43" w:end="43"/>
              <w:rPr/>
            </w:pPr>
            <w:r>
              <w:rPr>
                <w:sz w:val="19"/>
              </w:rPr>
              <w:t>25–27</w:t>
            </w:r>
          </w:p>
        </w:tc>
        <w:tc>
          <w:tcPr>
            <w:tcW w:w="3120" w:type="dxa"/>
            <w:tcBorders/>
            <w:vAlign w:val="center"/>
          </w:tcPr>
          <w:p>
            <w:pPr>
              <w:pStyle w:val="TableContents"/>
              <w:suppressLineNumbers/>
              <w:bidi w:val="0"/>
              <w:spacing w:before="0" w:after="40"/>
              <w:ind w:hanging="0" w:start="43" w:end="43"/>
              <w:rPr/>
            </w:pPr>
            <w:r>
              <w:rPr>
                <w:sz w:val="19"/>
              </w:rPr>
              <w:t>Auditoria e ação corretiva</w:t>
            </w:r>
          </w:p>
        </w:tc>
        <w:tc>
          <w:tcPr>
            <w:tcW w:w="3120" w:type="dxa"/>
            <w:tcBorders/>
            <w:vAlign w:val="center"/>
          </w:tcPr>
          <w:p>
            <w:pPr>
              <w:pStyle w:val="TableContents"/>
              <w:suppressLineNumbers/>
              <w:bidi w:val="0"/>
              <w:spacing w:before="0" w:after="40"/>
              <w:ind w:hanging="0" w:start="43" w:end="43"/>
              <w:rPr/>
            </w:pPr>
            <w:r>
              <w:rPr>
                <w:sz w:val="19"/>
              </w:rPr>
              <w:t>Relatório de auditoria, constatações e plano de eficácia</w:t>
            </w:r>
          </w:p>
        </w:tc>
      </w:tr>
      <w:tr>
        <w:trPr>
          <w:cantSplit/>
        </w:trPr>
        <w:tc>
          <w:tcPr>
            <w:tcW w:w="3120" w:type="dxa"/>
            <w:tcBorders/>
            <w:vAlign w:val="center"/>
          </w:tcPr>
          <w:p>
            <w:pPr>
              <w:pStyle w:val="TableContents"/>
              <w:suppressLineNumbers/>
              <w:bidi w:val="0"/>
              <w:spacing w:before="0" w:after="40"/>
              <w:ind w:hanging="0" w:start="43" w:end="43"/>
              <w:rPr/>
            </w:pPr>
            <w:r>
              <w:rPr>
                <w:sz w:val="19"/>
              </w:rPr>
              <w:t>28–30</w:t>
            </w:r>
          </w:p>
        </w:tc>
        <w:tc>
          <w:tcPr>
            <w:tcW w:w="3120" w:type="dxa"/>
            <w:tcBorders/>
            <w:vAlign w:val="center"/>
          </w:tcPr>
          <w:p>
            <w:pPr>
              <w:pStyle w:val="TableContents"/>
              <w:suppressLineNumbers/>
              <w:bidi w:val="0"/>
              <w:spacing w:before="0" w:after="40"/>
              <w:ind w:hanging="0" w:start="43" w:end="43"/>
              <w:rPr/>
            </w:pPr>
            <w:r>
              <w:rPr>
                <w:sz w:val="19"/>
              </w:rPr>
              <w:t>Análise crítica pela direção e entrevista</w:t>
            </w:r>
          </w:p>
        </w:tc>
        <w:tc>
          <w:tcPr>
            <w:tcW w:w="3120" w:type="dxa"/>
            <w:tcBorders/>
            <w:vAlign w:val="center"/>
          </w:tcPr>
          <w:p>
            <w:pPr>
              <w:pStyle w:val="TableContents"/>
              <w:suppressLineNumbers/>
              <w:bidi w:val="0"/>
              <w:spacing w:before="0" w:after="40"/>
              <w:ind w:hanging="0" w:start="43" w:end="43"/>
              <w:rPr/>
            </w:pPr>
            <w:r>
              <w:rPr>
                <w:sz w:val="19"/>
              </w:rPr>
              <w:t>Pacote de análise crítica, memorando de prontidão e histórias STAR</w:t>
            </w:r>
          </w:p>
        </w:tc>
      </w:tr>
    </w:tbl>
    <w:p>
      <w:pPr>
        <w:pStyle w:val="Heading2"/>
        <w:tabs>
          <w:tab w:val="clear" w:pos="709"/>
          <w:tab w:val="left" w:pos="0" w:leader="none"/>
        </w:tabs>
        <w:bidi w:val="0"/>
        <w:ind w:hanging="0" w:start="0"/>
        <w:jc w:val="left"/>
        <w:rPr/>
        <w:keepNext/>
      </w:pPr>
      <w:bookmarkStart w:id="106" w:name="o-que-é-isoiec-42001"/>
      <w:r>
        <w:rPr/>
        <w:t>31.5 O que é ISO/IEC 42001?</w:t>
      </w:r>
      <w:bookmarkEnd w:id="106"/>
    </w:p>
    <w:p>
      <w:pPr>
        <w:pStyle w:val="Firstparagraph"/>
        <w:bidi w:val="0"/>
        <w:rPr/>
      </w:pPr>
      <w:r>
        <w:rPr/>
        <w:t>Uma norma certificável de sistema de gestão para organizações que desenvolvem, fornecem ou usam sistemas de IA. Estabelece requisitos para governança responsável, risco, impacto, operação, avaliação e melhoria.</w:t>
      </w:r>
    </w:p>
    <w:p>
      <w:pPr>
        <w:pStyle w:val="Heading2"/>
        <w:tabs>
          <w:tab w:val="clear" w:pos="709"/>
          <w:tab w:val="left" w:pos="0" w:leader="none"/>
        </w:tabs>
        <w:bidi w:val="0"/>
        <w:ind w:hanging="0" w:start="0"/>
        <w:jc w:val="left"/>
        <w:rPr/>
        <w:keepNext/>
      </w:pPr>
      <w:bookmarkStart w:id="107" w:name="o-que-é-um-sgia"/>
      <w:r>
        <w:rPr/>
        <w:t>31.6 O que é um SGIA?</w:t>
      </w:r>
      <w:bookmarkEnd w:id="107"/>
    </w:p>
    <w:p>
      <w:pPr>
        <w:pStyle w:val="Firstparagraph"/>
        <w:bidi w:val="0"/>
        <w:rPr/>
      </w:pPr>
      <w:r>
        <w:rPr/>
        <w:t>As políticas, objetivos, processos, papéis, controles e registros inter-relacionados da organização para gerir IA responsavelmente dentro de um escopo definido.</w:t>
      </w:r>
    </w:p>
    <w:p>
      <w:pPr>
        <w:pStyle w:val="Heading2"/>
        <w:tabs>
          <w:tab w:val="clear" w:pos="709"/>
          <w:tab w:val="left" w:pos="0" w:leader="none"/>
        </w:tabs>
        <w:bidi w:val="0"/>
        <w:ind w:hanging="0" w:start="0"/>
        <w:jc w:val="left"/>
        <w:rPr/>
        <w:keepNext/>
      </w:pPr>
      <w:bookmarkStart w:id="108" w:name="todos-os-controles-do-anexo-a-são-obriga"/>
      <w:r>
        <w:rPr/>
        <w:t>31.7 Todos os controles do Anexo A são obrigatórios?</w:t>
      </w:r>
      <w:bookmarkEnd w:id="108"/>
    </w:p>
    <w:p>
      <w:pPr>
        <w:pStyle w:val="Firstparagraph"/>
        <w:bidi w:val="0"/>
        <w:rPr/>
      </w:pPr>
      <w:r>
        <w:rPr/>
        <w:t>São controles de referência considerados por meio do tratamento de riscos. A organização documenta aplicabilidade e implementação na Declaração de Aplicabilidade e pode adicionar outros controles.</w:t>
      </w:r>
    </w:p>
    <w:p>
      <w:pPr>
        <w:pStyle w:val="Heading2"/>
        <w:tabs>
          <w:tab w:val="clear" w:pos="709"/>
          <w:tab w:val="left" w:pos="0" w:leader="none"/>
        </w:tabs>
        <w:bidi w:val="0"/>
        <w:ind w:hanging="0" w:start="0"/>
        <w:jc w:val="left"/>
        <w:rPr/>
        <w:keepNext/>
      </w:pPr>
      <w:bookmarkStart w:id="109" w:name="avaliação-de-riscos-versus-avaliação-de1"/>
      <w:r>
        <w:rPr/>
        <w:t>31.8 Avaliação de riscos versus avaliação de impacto?</w:t>
      </w:r>
      <w:bookmarkEnd w:id="109"/>
    </w:p>
    <w:p>
      <w:pPr>
        <w:pStyle w:val="Firstparagraph"/>
        <w:bidi w:val="0"/>
        <w:rPr/>
      </w:pPr>
      <w:r>
        <w:rPr/>
        <w:t>A avaliação de riscos gerencia incerteza que afeta objetivos. A avaliação de impacto de sistemas de IA foca efeitos sobre indivíduos, grupos e sociedade. Elas trocam constatações, mas não são idênticas.</w:t>
      </w:r>
    </w:p>
    <w:p>
      <w:pPr>
        <w:pStyle w:val="Heading2"/>
        <w:tabs>
          <w:tab w:val="clear" w:pos="709"/>
          <w:tab w:val="left" w:pos="0" w:leader="none"/>
        </w:tabs>
        <w:bidi w:val="0"/>
        <w:ind w:hanging="0" w:start="0"/>
        <w:jc w:val="left"/>
        <w:rPr/>
        <w:keepNext/>
      </w:pPr>
      <w:bookmarkStart w:id="110" w:name="o-que-é-a-declaração-de-aplicabilidade"/>
      <w:r>
        <w:rPr/>
        <w:t>31.9 O que é a Declaração de Aplicabilidade?</w:t>
      </w:r>
      <w:bookmarkEnd w:id="110"/>
    </w:p>
    <w:p>
      <w:pPr>
        <w:pStyle w:val="Firstparagraph"/>
        <w:bidi w:val="0"/>
        <w:rPr/>
      </w:pPr>
      <w:r>
        <w:rPr/>
        <w:t>Registro controlado que explica quais controles do Anexo A e adicionais se aplicam, por quê, como são implementados, seu status, evidências, lacunas e revisão.</w:t>
      </w:r>
    </w:p>
    <w:p>
      <w:pPr>
        <w:pStyle w:val="Heading2"/>
        <w:tabs>
          <w:tab w:val="clear" w:pos="709"/>
          <w:tab w:val="left" w:pos="0" w:leader="none"/>
        </w:tabs>
        <w:bidi w:val="0"/>
        <w:ind w:hanging="0" w:start="0"/>
        <w:jc w:val="left"/>
        <w:rPr/>
        <w:keepNext/>
      </w:pPr>
      <w:bookmarkStart w:id="111" w:name="estágio-1-versus-estágio-2"/>
      <w:r>
        <w:rPr/>
        <w:t>31.10 Estágio 1 versus Estágio 2?</w:t>
      </w:r>
      <w:bookmarkEnd w:id="111"/>
    </w:p>
    <w:p>
      <w:pPr>
        <w:pStyle w:val="Firstparagraph"/>
        <w:bidi w:val="0"/>
        <w:rPr/>
      </w:pPr>
      <w:r>
        <w:rPr/>
        <w:t>Estágio 1 avalia escopo, sistema documentado, prontidão e planejamento. Estágio 2 avalia implementação e eficácia operacional por evidências e amostragem.</w:t>
      </w:r>
    </w:p>
    <w:p>
      <w:pPr>
        <w:pStyle w:val="Heading2"/>
        <w:tabs>
          <w:tab w:val="clear" w:pos="709"/>
          <w:tab w:val="left" w:pos="0" w:leader="none"/>
        </w:tabs>
        <w:bidi w:val="0"/>
        <w:ind w:hanging="0" w:start="0"/>
        <w:jc w:val="left"/>
        <w:rPr/>
        <w:keepNext/>
      </w:pPr>
      <w:bookmarkStart w:id="112" w:name="o-que-é-uma-não-conformidade"/>
      <w:r>
        <w:rPr/>
        <w:t>31.11 O que é uma não conformidade?</w:t>
      </w:r>
      <w:bookmarkEnd w:id="112"/>
    </w:p>
    <w:p>
      <w:pPr>
        <w:pStyle w:val="Firstparagraph"/>
        <w:bidi w:val="0"/>
        <w:rPr/>
      </w:pPr>
      <w:r>
        <w:rPr/>
        <w:t>Um requisito não é atendido. A constatação deve identificar critérios, evidência objetiva e lacuna sem prescrever a solução do auditado.</w:t>
      </w:r>
    </w:p>
    <w:p>
      <w:pPr>
        <w:pStyle w:val="Heading2"/>
        <w:tabs>
          <w:tab w:val="clear" w:pos="709"/>
          <w:tab w:val="left" w:pos="0" w:leader="none"/>
        </w:tabs>
        <w:bidi w:val="0"/>
        <w:ind w:hanging="0" w:start="0"/>
        <w:jc w:val="left"/>
        <w:rPr/>
        <w:keepNext/>
      </w:pPr>
      <w:bookmarkStart w:id="113" w:name="como-ferramentas-comprovam-conformidade"/>
      <w:r>
        <w:rPr/>
        <w:t>31.12 Como ferramentas comprovam conformidade?</w:t>
      </w:r>
      <w:bookmarkEnd w:id="113"/>
    </w:p>
    <w:p>
      <w:pPr>
        <w:pStyle w:val="Firstparagraph"/>
        <w:bidi w:val="0"/>
        <w:rPr/>
      </w:pPr>
      <w:r>
        <w:rPr/>
        <w:t>Elas não comprovam. Ferramentas produzem evidências que devem ser delimitadas, validadas, interpretadas em relação aos requisitos, conectadas aos controles e revisadas por pessoas competentes.</w:t>
      </w:r>
    </w:p>
    <w:p>
      <w:pPr>
        <w:pStyle w:val="Heading2"/>
        <w:tabs>
          <w:tab w:val="clear" w:pos="709"/>
          <w:tab w:val="left" w:pos="0" w:leader="none"/>
        </w:tabs>
        <w:bidi w:val="0"/>
        <w:ind w:hanging="0" w:start="0"/>
        <w:jc w:val="left"/>
        <w:rPr/>
        <w:keepNext/>
      </w:pPr>
      <w:bookmarkStart w:id="114" w:name="como-testar-uma-ação-corretiva"/>
      <w:r>
        <w:rPr/>
        <w:t>31.13 Como testar uma ação corretiva?</w:t>
      </w:r>
      <w:bookmarkEnd w:id="114"/>
    </w:p>
    <w:p>
      <w:pPr>
        <w:pStyle w:val="Firstparagraph"/>
        <w:bidi w:val="0"/>
        <w:rPr/>
      </w:pPr>
      <w:r>
        <w:rPr/>
        <w:t>Verifique correção, ação sobre causa-raiz, aplicação a condições semelhantes e evidência de que o risco de recorrência foi reduzido após operação suficiente.</w:t>
      </w:r>
    </w:p>
    <w:p>
      <w:pPr>
        <w:pStyle w:val="Heading2"/>
        <w:tabs>
          <w:tab w:val="clear" w:pos="709"/>
          <w:tab w:val="left" w:pos="0" w:leader="none"/>
        </w:tabs>
        <w:bidi w:val="0"/>
        <w:ind w:hanging="0" w:start="0"/>
        <w:jc w:val="left"/>
        <w:rPr/>
        <w:keepNext/>
      </w:pPr>
      <w:bookmarkStart w:id="115" w:name="o-que-caracteriza-um-bom-analista-júnior"/>
      <w:r>
        <w:rPr/>
        <w:t>31.14 O que caracteriza um bom analista júnior?</w:t>
      </w:r>
      <w:bookmarkEnd w:id="115"/>
    </w:p>
    <w:p>
      <w:pPr>
        <w:pStyle w:val="Firstparagraph"/>
        <w:bidi w:val="0"/>
        <w:rPr/>
      </w:pPr>
      <w:r>
        <w:rPr/>
        <w:t>Escopo preciso, evidências cuidadosas, compreensão de cláusulas, redação clara, respeito às pessoas afetadas, incerteza honesta, uso seguro de ferramentas e acompanhamento confiável.</w:t>
      </w:r>
    </w:p>
    <w:p>
      <w:pPr>
        <w:pStyle w:val="Heading1"/>
        <w:tabs>
          <w:tab w:val="clear" w:pos="709"/>
          <w:tab w:val="left" w:pos="0" w:leader="none"/>
        </w:tabs>
        <w:bidi w:val="0"/>
        <w:ind w:hanging="0" w:start="0"/>
        <w:jc w:val="left"/>
        <w:rPr/>
        <w:keepNext/>
      </w:pPr>
      <w:bookmarkStart w:id="116" w:name="modelos-glossário-índice-e-referências-o"/>
      <w:r>
        <w:rPr/>
        <w:t>32. Modelos, glossário, índice e referências oficiais</w:t>
      </w:r>
      <w:bookmarkEnd w:id="116"/>
    </w:p>
    <w:p>
      <w:pPr>
        <w:pStyle w:val="Firstparagraph"/>
        <w:bidi w:val="0"/>
        <w:rPr>
          <w:i/>
          <w:iCs/>
        </w:rPr>
      </w:pPr>
      <w:r>
        <w:rPr>
          <w:i/>
          <w:iCs/>
        </w:rPr>
        <w:t>Estruturas reutilizáveis de trabalho e referências autoritativas apoiam implementação e auditoria consistentes do SGIA.</w:t>
      </w:r>
    </w:p>
    <w:p>
      <w:pPr>
        <w:pStyle w:val="Heading2"/>
        <w:tabs>
          <w:tab w:val="clear" w:pos="709"/>
          <w:tab w:val="left" w:pos="0" w:leader="none"/>
        </w:tabs>
        <w:bidi w:val="0"/>
        <w:ind w:hanging="0" w:start="0"/>
        <w:jc w:val="left"/>
        <w:rPr/>
        <w:keepNext/>
      </w:pPr>
      <w:bookmarkStart w:id="117" w:name="registro-de-escopo-e-contexto-do-sgia"/>
      <w:r>
        <w:rPr/>
        <w:t>32.1 Registro de escopo e contexto do SGIA</w:t>
      </w:r>
      <w:bookmarkEnd w:id="117"/>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Organizações/unidades/locais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Papel de IA, produtos/serviços/processos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Sistemas/modelos/dados/ambientes de 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Questões internas/externas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Partes interessadas e requisitos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Obrigações legais/contratuais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Limites, interfaces e dependências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Processos terceirizados/compartilhados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Exclusões e justificativa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Aprovação do escopo e gatilhos de revisão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18" w:name="registro-de-risco-e-tratamento-de-ia"/>
      <w:r>
        <w:rPr/>
        <w:t>32.2 Registro de risco e tratamento de IA</w:t>
      </w:r>
      <w:bookmarkEnd w:id="118"/>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Sistema/uso/versão/proprietário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Cenário, parte afetada, consequência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Probabilidade/impacto/incerteza/evidência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Controles existentes e eficácia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Avaliação/tolerância de risco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Opção de tratamento/controle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Mapeamento ao Anexo A/controle adicional</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Proprietário/recurso/data/medida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Risco residual/aprovador/condições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Monitoramento/revisão/reteste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19" w:name="declaração-de-aplicabilidade"/>
      <w:r>
        <w:rPr/>
        <w:t>32.3 Declaração de Aplicabilidade</w:t>
      </w:r>
      <w:bookmarkEnd w:id="119"/>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Referência/título do controle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Aplicabilidade e justificativa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Risco/impacto/obrigação relacionada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Implementação e proprietário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Status e data-alvo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Evidência e resultado de teste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Dependências de fornecedor/cliente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Lacuna/exceção/risco residual</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Última/próxima revisão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Histórico de mudanças/aprovação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0" w:name="avaliação-de-impacto-de-sistemas-de-ia"/>
      <w:r>
        <w:rPr/>
        <w:t>32.4 Avaliação de impacto de sistemas de IA</w:t>
      </w:r>
      <w:bookmarkEnd w:id="120"/>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Finalidade, uso, pessoas afetadas, alternativas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Sistema/dados/modelo/fornecedor/contexto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Benefícios e impactos adversos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Efeitos individuais/de grupo/sociais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Probabilidade/gravidade/escala/duração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Reversibilidade/distribuição/incerteza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Participação de partes interessadas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Mitigação/supervisão/transparência/reparação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Decisão/autoridade/condições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Monitoramento/gatilhos/revisão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1" w:name="papel-de-trabalho-de-auditoria-interna"/>
      <w:r>
        <w:rPr/>
        <w:t>32.5 Papel de trabalho de auditoria interna</w:t>
      </w:r>
      <w:bookmarkEnd w:id="121"/>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Critérios/escopo/objetivo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Processo/sistema/versão/período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População/amostra/justificativa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Evidência/fonte/confiabilidade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Teste/resultado esperado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Resultado observado/exceções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Conclusão/não conformidade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Indicação de risco/impacto/causa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Correção/ação corretiva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Eficácia/acompanhamento/encerramento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2" w:name="registro-de-análise-crítica-pela-direção"/>
      <w:r>
        <w:rPr/>
        <w:t>32.6 Registro de análise crítica pela direção</w:t>
      </w:r>
      <w:bookmarkEnd w:id="122"/>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Status das ações anteriores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Mudanças de contexto/partes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Objetivos/tendências de desempenho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Risco/impacto/tratamento/Declaração de Aplicabilidade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Auditoria/não conformidade/ação corretiva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Incidentes/reclamações/preocupações/reparação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Mudanças de fornecedores/jurídicas/sistemas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Recursos/competência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Decisões/ações/proprietários/datas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Eficácia/acompanhamento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3" w:name="glossário"/>
      <w:r>
        <w:rPr/>
        <w:t>32.7 Glossário</w:t>
      </w:r>
      <w:bookmarkEnd w:id="123"/>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Termo</w:t>
            </w:r>
          </w:p>
        </w:tc>
        <w:tc>
          <w:tcPr>
            <w:tcW w:w="4680" w:type="dxa"/>
            <w:tcBorders/>
            <w:vAlign w:val="center"/>
            <w:shd w:fill="1F4E78"/>
          </w:tcPr>
          <w:p>
            <w:pPr>
              <w:pStyle w:val="TableHeading"/>
              <w:bidi w:val="0"/>
              <w:spacing w:before="0" w:after="40"/>
              <w:rPr>
                <w:b/>
                <w:bCs/>
              </w:rPr>
            </w:pPr>
            <w:r>
              <w:rPr>
                <w:b/>
                <w:bCs/>
                <w:sz w:val="19"/>
                <w:color w:val="FFFFFF"/>
              </w:rPr>
              <w:t>Significado</w:t>
            </w:r>
          </w:p>
        </w:tc>
      </w:tr>
      <w:tr>
        <w:trPr>
          <w:cantSplit/>
        </w:trPr>
        <w:tc>
          <w:tcPr>
            <w:tcW w:w="4680" w:type="dxa"/>
            <w:tcBorders/>
            <w:vAlign w:val="center"/>
          </w:tcPr>
          <w:p>
            <w:pPr>
              <w:pStyle w:val="TableContents"/>
              <w:suppressLineNumbers/>
              <w:bidi w:val="0"/>
              <w:spacing w:before="0" w:after="40"/>
              <w:ind w:hanging="0" w:start="43" w:end="43"/>
              <w:rPr/>
            </w:pPr>
            <w:r>
              <w:rPr>
                <w:sz w:val="19"/>
              </w:rPr>
              <w:t>SGIA</w:t>
            </w:r>
          </w:p>
        </w:tc>
        <w:tc>
          <w:tcPr>
            <w:tcW w:w="4680" w:type="dxa"/>
            <w:tcBorders/>
            <w:vAlign w:val="center"/>
          </w:tcPr>
          <w:p>
            <w:pPr>
              <w:pStyle w:val="TableContents"/>
              <w:suppressLineNumbers/>
              <w:bidi w:val="0"/>
              <w:spacing w:before="0" w:after="40"/>
              <w:ind w:hanging="0" w:start="43" w:end="43"/>
              <w:rPr/>
            </w:pPr>
            <w:r>
              <w:rPr>
                <w:sz w:val="19"/>
              </w:rPr>
              <w:t>Sistema de gestão de inteligência artificial.</w:t>
            </w:r>
          </w:p>
        </w:tc>
      </w:tr>
      <w:tr>
        <w:trPr>
          <w:cantSplit/>
        </w:trPr>
        <w:tc>
          <w:tcPr>
            <w:tcW w:w="4680" w:type="dxa"/>
            <w:tcBorders/>
            <w:vAlign w:val="center"/>
          </w:tcPr>
          <w:p>
            <w:pPr>
              <w:pStyle w:val="TableContents"/>
              <w:suppressLineNumbers/>
              <w:bidi w:val="0"/>
              <w:spacing w:before="0" w:after="40"/>
              <w:ind w:hanging="0" w:start="43" w:end="43"/>
              <w:rPr/>
            </w:pPr>
            <w:r>
              <w:rPr>
                <w:sz w:val="19"/>
              </w:rPr>
              <w:t>Avaliação de impacto de sistemas de IA</w:t>
            </w:r>
          </w:p>
        </w:tc>
        <w:tc>
          <w:tcPr>
            <w:tcW w:w="4680" w:type="dxa"/>
            <w:tcBorders/>
            <w:vAlign w:val="center"/>
          </w:tcPr>
          <w:p>
            <w:pPr>
              <w:pStyle w:val="TableContents"/>
              <w:suppressLineNumbers/>
              <w:bidi w:val="0"/>
              <w:spacing w:before="0" w:after="40"/>
              <w:ind w:hanging="0" w:start="43" w:end="43"/>
              <w:rPr/>
            </w:pPr>
            <w:r>
              <w:rPr>
                <w:sz w:val="19"/>
              </w:rPr>
              <w:t>Avaliação estruturada de efeitos potenciais sobre indivíduos, grupos e sociedade.</w:t>
            </w:r>
          </w:p>
        </w:tc>
      </w:tr>
      <w:tr>
        <w:trPr>
          <w:cantSplit/>
        </w:trPr>
        <w:tc>
          <w:tcPr>
            <w:tcW w:w="4680" w:type="dxa"/>
            <w:tcBorders/>
            <w:vAlign w:val="center"/>
          </w:tcPr>
          <w:p>
            <w:pPr>
              <w:pStyle w:val="TableContents"/>
              <w:suppressLineNumbers/>
              <w:bidi w:val="0"/>
              <w:spacing w:before="0" w:after="40"/>
              <w:ind w:hanging="0" w:start="43" w:end="43"/>
              <w:rPr/>
            </w:pPr>
            <w:r>
              <w:rPr>
                <w:sz w:val="19"/>
              </w:rPr>
              <w:t>Anexo A</w:t>
            </w:r>
          </w:p>
        </w:tc>
        <w:tc>
          <w:tcPr>
            <w:tcW w:w="4680" w:type="dxa"/>
            <w:tcBorders/>
            <w:vAlign w:val="center"/>
          </w:tcPr>
          <w:p>
            <w:pPr>
              <w:pStyle w:val="TableContents"/>
              <w:suppressLineNumbers/>
              <w:bidi w:val="0"/>
              <w:spacing w:before="0" w:after="40"/>
              <w:ind w:hanging="0" w:start="43" w:end="43"/>
              <w:rPr/>
            </w:pPr>
            <w:r>
              <w:rPr>
                <w:sz w:val="19"/>
              </w:rPr>
              <w:t>Objetivos de controle e controles de referência da ISO/IEC 42001.</w:t>
            </w:r>
          </w:p>
        </w:tc>
      </w:tr>
      <w:tr>
        <w:trPr>
          <w:cantSplit/>
        </w:trPr>
        <w:tc>
          <w:tcPr>
            <w:tcW w:w="4680" w:type="dxa"/>
            <w:tcBorders/>
            <w:vAlign w:val="center"/>
          </w:tcPr>
          <w:p>
            <w:pPr>
              <w:pStyle w:val="TableContents"/>
              <w:suppressLineNumbers/>
              <w:bidi w:val="0"/>
              <w:spacing w:before="0" w:after="40"/>
              <w:ind w:hanging="0" w:start="43" w:end="43"/>
              <w:rPr/>
            </w:pPr>
            <w:r>
              <w:rPr>
                <w:sz w:val="19"/>
              </w:rPr>
              <w:t>Anexo B</w:t>
            </w:r>
          </w:p>
        </w:tc>
        <w:tc>
          <w:tcPr>
            <w:tcW w:w="4680" w:type="dxa"/>
            <w:tcBorders/>
            <w:vAlign w:val="center"/>
          </w:tcPr>
          <w:p>
            <w:pPr>
              <w:pStyle w:val="TableContents"/>
              <w:suppressLineNumbers/>
              <w:bidi w:val="0"/>
              <w:spacing w:before="0" w:after="40"/>
              <w:ind w:hanging="0" w:start="43" w:end="43"/>
              <w:rPr/>
            </w:pPr>
            <w:r>
              <w:rPr>
                <w:sz w:val="19"/>
              </w:rPr>
              <w:t>Orientação para implementação dos controles do Anexo A.</w:t>
            </w:r>
          </w:p>
        </w:tc>
      </w:tr>
      <w:tr>
        <w:trPr>
          <w:cantSplit/>
        </w:trPr>
        <w:tc>
          <w:tcPr>
            <w:tcW w:w="4680" w:type="dxa"/>
            <w:tcBorders/>
            <w:vAlign w:val="center"/>
          </w:tcPr>
          <w:p>
            <w:pPr>
              <w:pStyle w:val="TableContents"/>
              <w:suppressLineNumbers/>
              <w:bidi w:val="0"/>
              <w:spacing w:before="0" w:after="40"/>
              <w:ind w:hanging="0" w:start="43" w:end="43"/>
              <w:rPr/>
            </w:pPr>
            <w:r>
              <w:rPr>
                <w:sz w:val="19"/>
              </w:rPr>
              <w:t>Certificação</w:t>
            </w:r>
          </w:p>
        </w:tc>
        <w:tc>
          <w:tcPr>
            <w:tcW w:w="4680" w:type="dxa"/>
            <w:tcBorders/>
            <w:vAlign w:val="center"/>
          </w:tcPr>
          <w:p>
            <w:pPr>
              <w:pStyle w:val="TableContents"/>
              <w:suppressLineNumbers/>
              <w:bidi w:val="0"/>
              <w:spacing w:before="0" w:after="40"/>
              <w:ind w:hanging="0" w:start="43" w:end="43"/>
              <w:rPr/>
            </w:pPr>
            <w:r>
              <w:rPr>
                <w:sz w:val="19"/>
              </w:rPr>
              <w:t>Atestação de terceira parte de que o SGIA delimitado está conforme com requisitos especificados.</w:t>
            </w:r>
          </w:p>
        </w:tc>
      </w:tr>
      <w:tr>
        <w:trPr>
          <w:cantSplit/>
        </w:trPr>
        <w:tc>
          <w:tcPr>
            <w:tcW w:w="4680" w:type="dxa"/>
            <w:tcBorders/>
            <w:vAlign w:val="center"/>
          </w:tcPr>
          <w:p>
            <w:pPr>
              <w:pStyle w:val="TableContents"/>
              <w:suppressLineNumbers/>
              <w:bidi w:val="0"/>
              <w:spacing w:before="0" w:after="40"/>
              <w:ind w:hanging="0" w:start="43" w:end="43"/>
              <w:rPr/>
            </w:pPr>
            <w:r>
              <w:rPr>
                <w:sz w:val="19"/>
              </w:rPr>
              <w:t>Conformidade</w:t>
            </w:r>
          </w:p>
        </w:tc>
        <w:tc>
          <w:tcPr>
            <w:tcW w:w="4680" w:type="dxa"/>
            <w:tcBorders/>
            <w:vAlign w:val="center"/>
          </w:tcPr>
          <w:p>
            <w:pPr>
              <w:pStyle w:val="TableContents"/>
              <w:suppressLineNumbers/>
              <w:bidi w:val="0"/>
              <w:spacing w:before="0" w:after="40"/>
              <w:ind w:hanging="0" w:start="43" w:end="43"/>
              <w:rPr/>
            </w:pPr>
            <w:r>
              <w:rPr>
                <w:sz w:val="19"/>
              </w:rPr>
              <w:t>Atendimento de um requisito.</w:t>
            </w:r>
          </w:p>
        </w:tc>
      </w:tr>
      <w:tr>
        <w:trPr>
          <w:cantSplit/>
        </w:trPr>
        <w:tc>
          <w:tcPr>
            <w:tcW w:w="4680" w:type="dxa"/>
            <w:tcBorders/>
            <w:vAlign w:val="center"/>
          </w:tcPr>
          <w:p>
            <w:pPr>
              <w:pStyle w:val="TableContents"/>
              <w:suppressLineNumbers/>
              <w:bidi w:val="0"/>
              <w:spacing w:before="0" w:after="40"/>
              <w:ind w:hanging="0" w:start="43" w:end="43"/>
              <w:rPr/>
            </w:pPr>
            <w:r>
              <w:rPr>
                <w:sz w:val="19"/>
              </w:rPr>
              <w:t>Controle</w:t>
            </w:r>
          </w:p>
        </w:tc>
        <w:tc>
          <w:tcPr>
            <w:tcW w:w="4680" w:type="dxa"/>
            <w:tcBorders/>
            <w:vAlign w:val="center"/>
          </w:tcPr>
          <w:p>
            <w:pPr>
              <w:pStyle w:val="TableContents"/>
              <w:suppressLineNumbers/>
              <w:bidi w:val="0"/>
              <w:spacing w:before="0" w:after="40"/>
              <w:ind w:hanging="0" w:start="43" w:end="43"/>
              <w:rPr/>
            </w:pPr>
            <w:r>
              <w:rPr>
                <w:sz w:val="19"/>
              </w:rPr>
              <w:t>Medida que mantém ou modifica o risco.</w:t>
            </w:r>
          </w:p>
        </w:tc>
      </w:tr>
      <w:tr>
        <w:trPr>
          <w:cantSplit/>
        </w:trPr>
        <w:tc>
          <w:tcPr>
            <w:tcW w:w="4680" w:type="dxa"/>
            <w:tcBorders/>
            <w:vAlign w:val="center"/>
          </w:tcPr>
          <w:p>
            <w:pPr>
              <w:pStyle w:val="TableContents"/>
              <w:suppressLineNumbers/>
              <w:bidi w:val="0"/>
              <w:spacing w:before="0" w:after="40"/>
              <w:ind w:hanging="0" w:start="43" w:end="43"/>
              <w:rPr/>
            </w:pPr>
            <w:r>
              <w:rPr>
                <w:sz w:val="19"/>
              </w:rPr>
              <w:t>Correção</w:t>
            </w:r>
          </w:p>
        </w:tc>
        <w:tc>
          <w:tcPr>
            <w:tcW w:w="4680" w:type="dxa"/>
            <w:tcBorders/>
            <w:vAlign w:val="center"/>
          </w:tcPr>
          <w:p>
            <w:pPr>
              <w:pStyle w:val="TableContents"/>
              <w:suppressLineNumbers/>
              <w:bidi w:val="0"/>
              <w:spacing w:before="0" w:after="40"/>
              <w:ind w:hanging="0" w:start="43" w:end="43"/>
              <w:rPr/>
            </w:pPr>
            <w:r>
              <w:rPr>
                <w:sz w:val="19"/>
              </w:rPr>
              <w:t>Ação para eliminar uma não conformidade detectada.</w:t>
            </w:r>
          </w:p>
        </w:tc>
      </w:tr>
      <w:tr>
        <w:trPr>
          <w:cantSplit/>
        </w:trPr>
        <w:tc>
          <w:tcPr>
            <w:tcW w:w="4680" w:type="dxa"/>
            <w:tcBorders/>
            <w:vAlign w:val="center"/>
          </w:tcPr>
          <w:p>
            <w:pPr>
              <w:pStyle w:val="TableContents"/>
              <w:suppressLineNumbers/>
              <w:bidi w:val="0"/>
              <w:spacing w:before="0" w:after="40"/>
              <w:ind w:hanging="0" w:start="43" w:end="43"/>
              <w:rPr/>
            </w:pPr>
            <w:r>
              <w:rPr>
                <w:sz w:val="19"/>
              </w:rPr>
              <w:t>Ação corretiva</w:t>
            </w:r>
          </w:p>
        </w:tc>
        <w:tc>
          <w:tcPr>
            <w:tcW w:w="4680" w:type="dxa"/>
            <w:tcBorders/>
            <w:vAlign w:val="center"/>
          </w:tcPr>
          <w:p>
            <w:pPr>
              <w:pStyle w:val="TableContents"/>
              <w:suppressLineNumbers/>
              <w:bidi w:val="0"/>
              <w:spacing w:before="0" w:after="40"/>
              <w:ind w:hanging="0" w:start="43" w:end="43"/>
              <w:rPr/>
            </w:pPr>
            <w:r>
              <w:rPr>
                <w:sz w:val="19"/>
              </w:rPr>
              <w:t>Ação para eliminar causa e prevenir recorrência.</w:t>
            </w:r>
          </w:p>
        </w:tc>
      </w:tr>
      <w:tr>
        <w:trPr>
          <w:cantSplit/>
        </w:trPr>
        <w:tc>
          <w:tcPr>
            <w:tcW w:w="4680" w:type="dxa"/>
            <w:tcBorders/>
            <w:vAlign w:val="center"/>
          </w:tcPr>
          <w:p>
            <w:pPr>
              <w:pStyle w:val="TableContents"/>
              <w:suppressLineNumbers/>
              <w:bidi w:val="0"/>
              <w:spacing w:before="0" w:after="40"/>
              <w:ind w:hanging="0" w:start="43" w:end="43"/>
              <w:rPr/>
            </w:pPr>
            <w:r>
              <w:rPr>
                <w:sz w:val="19"/>
              </w:rPr>
              <w:t>Informação documentada</w:t>
            </w:r>
          </w:p>
        </w:tc>
        <w:tc>
          <w:tcPr>
            <w:tcW w:w="4680" w:type="dxa"/>
            <w:tcBorders/>
            <w:vAlign w:val="center"/>
          </w:tcPr>
          <w:p>
            <w:pPr>
              <w:pStyle w:val="TableContents"/>
              <w:suppressLineNumbers/>
              <w:bidi w:val="0"/>
              <w:spacing w:before="0" w:after="40"/>
              <w:ind w:hanging="0" w:start="43" w:end="43"/>
              <w:rPr/>
            </w:pPr>
            <w:r>
              <w:rPr>
                <w:sz w:val="19"/>
              </w:rPr>
              <w:t>Informação que a organização controla e mantém, além de seu meio.</w:t>
            </w:r>
          </w:p>
        </w:tc>
      </w:tr>
      <w:tr>
        <w:trPr>
          <w:cantSplit/>
        </w:trPr>
        <w:tc>
          <w:tcPr>
            <w:tcW w:w="4680" w:type="dxa"/>
            <w:tcBorders/>
            <w:vAlign w:val="center"/>
          </w:tcPr>
          <w:p>
            <w:pPr>
              <w:pStyle w:val="TableContents"/>
              <w:suppressLineNumbers/>
              <w:bidi w:val="0"/>
              <w:spacing w:before="0" w:after="40"/>
              <w:ind w:hanging="0" w:start="43" w:end="43"/>
              <w:rPr/>
            </w:pPr>
            <w:r>
              <w:rPr>
                <w:sz w:val="19"/>
              </w:rPr>
              <w:t>Parte interessada</w:t>
            </w:r>
          </w:p>
        </w:tc>
        <w:tc>
          <w:tcPr>
            <w:tcW w:w="4680" w:type="dxa"/>
            <w:tcBorders/>
            <w:vAlign w:val="center"/>
          </w:tcPr>
          <w:p>
            <w:pPr>
              <w:pStyle w:val="TableContents"/>
              <w:suppressLineNumbers/>
              <w:bidi w:val="0"/>
              <w:spacing w:before="0" w:after="40"/>
              <w:ind w:hanging="0" w:start="43" w:end="43"/>
              <w:rPr/>
            </w:pPr>
            <w:r>
              <w:rPr>
                <w:sz w:val="19"/>
              </w:rPr>
              <w:t>Pessoa ou organização que pode afetar, ser afetada ou perceber-se afetada por decisão/atividade.</w:t>
            </w:r>
          </w:p>
        </w:tc>
      </w:tr>
      <w:tr>
        <w:trPr>
          <w:cantSplit/>
        </w:trPr>
        <w:tc>
          <w:tcPr>
            <w:tcW w:w="4680" w:type="dxa"/>
            <w:tcBorders/>
            <w:vAlign w:val="center"/>
          </w:tcPr>
          <w:p>
            <w:pPr>
              <w:pStyle w:val="TableContents"/>
              <w:suppressLineNumbers/>
              <w:bidi w:val="0"/>
              <w:spacing w:before="0" w:after="40"/>
              <w:ind w:hanging="0" w:start="43" w:end="43"/>
              <w:rPr/>
            </w:pPr>
            <w:r>
              <w:rPr>
                <w:sz w:val="19"/>
              </w:rPr>
              <w:t>Auditoria interna</w:t>
            </w:r>
          </w:p>
        </w:tc>
        <w:tc>
          <w:tcPr>
            <w:tcW w:w="4680" w:type="dxa"/>
            <w:tcBorders/>
            <w:vAlign w:val="center"/>
          </w:tcPr>
          <w:p>
            <w:pPr>
              <w:pStyle w:val="TableContents"/>
              <w:suppressLineNumbers/>
              <w:bidi w:val="0"/>
              <w:spacing w:before="0" w:after="40"/>
              <w:ind w:hanging="0" w:start="43" w:end="43"/>
              <w:rPr/>
            </w:pPr>
            <w:r>
              <w:rPr>
                <w:sz w:val="19"/>
              </w:rPr>
              <w:t>Processo sistemático independente e objetivo para avaliar evidências em relação a critérios.</w:t>
            </w:r>
          </w:p>
        </w:tc>
      </w:tr>
      <w:tr>
        <w:trPr>
          <w:cantSplit/>
        </w:trPr>
        <w:tc>
          <w:tcPr>
            <w:tcW w:w="4680" w:type="dxa"/>
            <w:tcBorders/>
            <w:vAlign w:val="center"/>
          </w:tcPr>
          <w:p>
            <w:pPr>
              <w:pStyle w:val="TableContents"/>
              <w:suppressLineNumbers/>
              <w:bidi w:val="0"/>
              <w:spacing w:before="0" w:after="40"/>
              <w:ind w:hanging="0" w:start="43" w:end="43"/>
              <w:rPr/>
            </w:pPr>
            <w:r>
              <w:rPr>
                <w:sz w:val="19"/>
              </w:rPr>
              <w:t>Não conformidade</w:t>
            </w:r>
          </w:p>
        </w:tc>
        <w:tc>
          <w:tcPr>
            <w:tcW w:w="4680" w:type="dxa"/>
            <w:tcBorders/>
            <w:vAlign w:val="center"/>
          </w:tcPr>
          <w:p>
            <w:pPr>
              <w:pStyle w:val="TableContents"/>
              <w:suppressLineNumbers/>
              <w:bidi w:val="0"/>
              <w:spacing w:before="0" w:after="40"/>
              <w:ind w:hanging="0" w:start="43" w:end="43"/>
              <w:rPr/>
            </w:pPr>
            <w:r>
              <w:rPr>
                <w:sz w:val="19"/>
              </w:rPr>
              <w:t>Não atendimento de um requisito.</w:t>
            </w:r>
          </w:p>
        </w:tc>
      </w:tr>
      <w:tr>
        <w:trPr>
          <w:cantSplit/>
        </w:trPr>
        <w:tc>
          <w:tcPr>
            <w:tcW w:w="4680" w:type="dxa"/>
            <w:tcBorders/>
            <w:vAlign w:val="center"/>
          </w:tcPr>
          <w:p>
            <w:pPr>
              <w:pStyle w:val="TableContents"/>
              <w:suppressLineNumbers/>
              <w:bidi w:val="0"/>
              <w:spacing w:before="0" w:after="40"/>
              <w:ind w:hanging="0" w:start="43" w:end="43"/>
              <w:rPr/>
            </w:pPr>
            <w:r>
              <w:rPr>
                <w:sz w:val="19"/>
              </w:rPr>
              <w:t>Objetivo</w:t>
            </w:r>
          </w:p>
        </w:tc>
        <w:tc>
          <w:tcPr>
            <w:tcW w:w="4680" w:type="dxa"/>
            <w:tcBorders/>
            <w:vAlign w:val="center"/>
          </w:tcPr>
          <w:p>
            <w:pPr>
              <w:pStyle w:val="TableContents"/>
              <w:suppressLineNumbers/>
              <w:bidi w:val="0"/>
              <w:spacing w:before="0" w:after="40"/>
              <w:ind w:hanging="0" w:start="43" w:end="43"/>
              <w:rPr/>
            </w:pPr>
            <w:r>
              <w:rPr>
                <w:sz w:val="19"/>
              </w:rPr>
              <w:t>Resultado a ser alcançado.</w:t>
            </w:r>
          </w:p>
        </w:tc>
      </w:tr>
      <w:tr>
        <w:trPr>
          <w:cantSplit/>
        </w:trPr>
        <w:tc>
          <w:tcPr>
            <w:tcW w:w="4680" w:type="dxa"/>
            <w:tcBorders/>
            <w:vAlign w:val="center"/>
          </w:tcPr>
          <w:p>
            <w:pPr>
              <w:pStyle w:val="TableContents"/>
              <w:suppressLineNumbers/>
              <w:bidi w:val="0"/>
              <w:spacing w:before="0" w:after="40"/>
              <w:ind w:hanging="0" w:start="43" w:end="43"/>
              <w:rPr/>
            </w:pPr>
            <w:r>
              <w:rPr>
                <w:sz w:val="19"/>
              </w:rPr>
              <w:t>Risco residual</w:t>
            </w:r>
          </w:p>
        </w:tc>
        <w:tc>
          <w:tcPr>
            <w:tcW w:w="4680" w:type="dxa"/>
            <w:tcBorders/>
            <w:vAlign w:val="center"/>
          </w:tcPr>
          <w:p>
            <w:pPr>
              <w:pStyle w:val="TableContents"/>
              <w:suppressLineNumbers/>
              <w:bidi w:val="0"/>
              <w:spacing w:before="0" w:after="40"/>
              <w:ind w:hanging="0" w:start="43" w:end="43"/>
              <w:rPr/>
            </w:pPr>
            <w:r>
              <w:rPr>
                <w:sz w:val="19"/>
              </w:rPr>
              <w:t>Risco restante após tratamento.</w:t>
            </w:r>
          </w:p>
        </w:tc>
      </w:tr>
      <w:tr>
        <w:trPr>
          <w:cantSplit/>
        </w:trPr>
        <w:tc>
          <w:tcPr>
            <w:tcW w:w="4680" w:type="dxa"/>
            <w:tcBorders/>
            <w:vAlign w:val="center"/>
          </w:tcPr>
          <w:p>
            <w:pPr>
              <w:pStyle w:val="TableContents"/>
              <w:suppressLineNumbers/>
              <w:bidi w:val="0"/>
              <w:spacing w:before="0" w:after="40"/>
              <w:ind w:hanging="0" w:start="43" w:end="43"/>
              <w:rPr/>
            </w:pPr>
            <w:r>
              <w:rPr>
                <w:sz w:val="19"/>
              </w:rPr>
              <w:t>Proprietário do risco</w:t>
            </w:r>
          </w:p>
        </w:tc>
        <w:tc>
          <w:tcPr>
            <w:tcW w:w="4680" w:type="dxa"/>
            <w:tcBorders/>
            <w:vAlign w:val="center"/>
          </w:tcPr>
          <w:p>
            <w:pPr>
              <w:pStyle w:val="TableContents"/>
              <w:suppressLineNumbers/>
              <w:bidi w:val="0"/>
              <w:spacing w:before="0" w:after="40"/>
              <w:ind w:hanging="0" w:start="43" w:end="43"/>
              <w:rPr/>
            </w:pPr>
            <w:r>
              <w:rPr>
                <w:sz w:val="19"/>
              </w:rPr>
              <w:t>Pessoa/entidade com responsabilização e autoridade para gerenciar risco.</w:t>
            </w:r>
          </w:p>
        </w:tc>
      </w:tr>
      <w:tr>
        <w:trPr>
          <w:cantSplit/>
        </w:trPr>
        <w:tc>
          <w:tcPr>
            <w:tcW w:w="4680" w:type="dxa"/>
            <w:tcBorders/>
            <w:vAlign w:val="center"/>
          </w:tcPr>
          <w:p>
            <w:pPr>
              <w:pStyle w:val="TableContents"/>
              <w:suppressLineNumbers/>
              <w:bidi w:val="0"/>
              <w:spacing w:before="0" w:after="40"/>
              <w:ind w:hanging="0" w:start="43" w:end="43"/>
              <w:rPr/>
            </w:pPr>
            <w:r>
              <w:rPr>
                <w:sz w:val="19"/>
              </w:rPr>
              <w:t>Declaração de Aplicabilidade (SoA)</w:t>
            </w:r>
          </w:p>
        </w:tc>
        <w:tc>
          <w:tcPr>
            <w:tcW w:w="4680" w:type="dxa"/>
            <w:tcBorders/>
            <w:vAlign w:val="center"/>
          </w:tcPr>
          <w:p>
            <w:pPr>
              <w:pStyle w:val="TableContents"/>
              <w:suppressLineNumbers/>
              <w:bidi w:val="0"/>
              <w:spacing w:before="0" w:after="40"/>
              <w:ind w:hanging="0" w:start="43" w:end="43"/>
              <w:rPr/>
            </w:pPr>
            <w:r>
              <w:rPr>
                <w:sz w:val="19"/>
              </w:rPr>
              <w:t>Registro de aplicabilidade dos controles do SGIA.</w:t>
            </w:r>
          </w:p>
        </w:tc>
      </w:tr>
      <w:tr>
        <w:trPr>
          <w:cantSplit/>
        </w:trPr>
        <w:tc>
          <w:tcPr>
            <w:tcW w:w="4680" w:type="dxa"/>
            <w:tcBorders/>
            <w:vAlign w:val="center"/>
          </w:tcPr>
          <w:p>
            <w:pPr>
              <w:pStyle w:val="TableContents"/>
              <w:suppressLineNumbers/>
              <w:bidi w:val="0"/>
              <w:spacing w:before="0" w:after="40"/>
              <w:ind w:hanging="0" w:start="43" w:end="43"/>
              <w:rPr/>
            </w:pPr>
            <w:r>
              <w:rPr>
                <w:sz w:val="19"/>
              </w:rPr>
              <w:t>Estágio 1</w:t>
            </w:r>
          </w:p>
        </w:tc>
        <w:tc>
          <w:tcPr>
            <w:tcW w:w="4680" w:type="dxa"/>
            <w:tcBorders/>
            <w:vAlign w:val="center"/>
          </w:tcPr>
          <w:p>
            <w:pPr>
              <w:pStyle w:val="TableContents"/>
              <w:suppressLineNumbers/>
              <w:bidi w:val="0"/>
              <w:spacing w:before="0" w:after="40"/>
              <w:ind w:hanging="0" w:start="43" w:end="43"/>
              <w:rPr/>
            </w:pPr>
            <w:r>
              <w:rPr>
                <w:sz w:val="19"/>
              </w:rPr>
              <w:t>Etapa de auditoria de prontidão para certificação e sistema documentado.</w:t>
            </w:r>
          </w:p>
        </w:tc>
      </w:tr>
      <w:tr>
        <w:trPr>
          <w:cantSplit/>
        </w:trPr>
        <w:tc>
          <w:tcPr>
            <w:tcW w:w="4680" w:type="dxa"/>
            <w:tcBorders/>
            <w:vAlign w:val="center"/>
          </w:tcPr>
          <w:p>
            <w:pPr>
              <w:pStyle w:val="TableContents"/>
              <w:suppressLineNumbers/>
              <w:bidi w:val="0"/>
              <w:spacing w:before="0" w:after="40"/>
              <w:ind w:hanging="0" w:start="43" w:end="43"/>
              <w:rPr/>
            </w:pPr>
            <w:r>
              <w:rPr>
                <w:sz w:val="19"/>
              </w:rPr>
              <w:t>Estágio 2</w:t>
            </w:r>
          </w:p>
        </w:tc>
        <w:tc>
          <w:tcPr>
            <w:tcW w:w="4680" w:type="dxa"/>
            <w:tcBorders/>
            <w:vAlign w:val="center"/>
          </w:tcPr>
          <w:p>
            <w:pPr>
              <w:pStyle w:val="TableContents"/>
              <w:suppressLineNumbers/>
              <w:bidi w:val="0"/>
              <w:spacing w:before="0" w:after="40"/>
              <w:ind w:hanging="0" w:start="43" w:end="43"/>
              <w:rPr/>
            </w:pPr>
            <w:r>
              <w:rPr>
                <w:sz w:val="19"/>
              </w:rPr>
              <w:t>Etapa de auditoria de implementação e eficácia operacional para certificação.</w:t>
            </w:r>
          </w:p>
        </w:tc>
      </w:tr>
      <w:tr>
        <w:trPr>
          <w:cantSplit/>
        </w:trPr>
        <w:tc>
          <w:tcPr>
            <w:tcW w:w="4680" w:type="dxa"/>
            <w:tcBorders/>
            <w:vAlign w:val="center"/>
          </w:tcPr>
          <w:p>
            <w:pPr>
              <w:pStyle w:val="TableContents"/>
              <w:suppressLineNumbers/>
              <w:bidi w:val="0"/>
              <w:spacing w:before="0" w:after="40"/>
              <w:ind w:hanging="0" w:start="43" w:end="43"/>
              <w:rPr/>
            </w:pPr>
            <w:r>
              <w:rPr>
                <w:sz w:val="19"/>
              </w:rPr>
              <w:t>Alta direção</w:t>
            </w:r>
          </w:p>
        </w:tc>
        <w:tc>
          <w:tcPr>
            <w:tcW w:w="4680" w:type="dxa"/>
            <w:tcBorders/>
            <w:vAlign w:val="center"/>
          </w:tcPr>
          <w:p>
            <w:pPr>
              <w:pStyle w:val="TableContents"/>
              <w:suppressLineNumbers/>
              <w:bidi w:val="0"/>
              <w:spacing w:before="0" w:after="40"/>
              <w:ind w:hanging="0" w:start="43" w:end="43"/>
              <w:rPr/>
            </w:pPr>
            <w:r>
              <w:rPr>
                <w:sz w:val="19"/>
              </w:rPr>
              <w:t>Pessoa/grupo que dirige e controla a organização no nível mais alto dentro do escopo.</w:t>
            </w:r>
          </w:p>
        </w:tc>
      </w:tr>
    </w:tbl>
    <w:p>
      <w:pPr>
        <w:pStyle w:val="Heading2"/>
        <w:tabs>
          <w:tab w:val="clear" w:pos="709"/>
          <w:tab w:val="left" w:pos="0" w:leader="none"/>
        </w:tabs>
        <w:bidi w:val="0"/>
        <w:ind w:hanging="0" w:start="0"/>
        <w:jc w:val="left"/>
        <w:rPr/>
        <w:keepNext/>
      </w:pPr>
      <w:bookmarkStart w:id="124" w:name="índice-temático"/>
      <w:r>
        <w:rPr/>
        <w:t>32.8 Índice temático</w:t>
      </w:r>
      <w:bookmarkEnd w:id="124"/>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79"/>
        <w:gridCol w:w="4681"/>
      </w:tblGrid>
      <w:tr>
        <w:trPr>
          <w:tblHeader w:val="true"/>
          <w:cantSplit/>
        </w:trPr>
        <w:tc>
          <w:tcPr>
            <w:tcW w:w="4679" w:type="dxa"/>
            <w:tcBorders/>
            <w:vAlign w:val="center"/>
            <w:shd w:fill="1F4E78"/>
          </w:tcPr>
          <w:p>
            <w:pPr>
              <w:pStyle w:val="TableHeading"/>
              <w:bidi w:val="0"/>
              <w:spacing w:before="0" w:after="40"/>
              <w:rPr>
                <w:b/>
                <w:bCs/>
              </w:rPr>
            </w:pPr>
            <w:r>
              <w:rPr>
                <w:b/>
                <w:bCs/>
                <w:sz w:val="19"/>
                <w:color w:val="FFFFFF"/>
              </w:rPr>
              <w:t>Tema</w:t>
            </w:r>
          </w:p>
        </w:tc>
        <w:tc>
          <w:tcPr>
            <w:tcW w:w="4681" w:type="dxa"/>
            <w:tcBorders/>
            <w:vAlign w:val="center"/>
            <w:shd w:fill="1F4E78"/>
          </w:tcPr>
          <w:p>
            <w:pPr>
              <w:pStyle w:val="TableHeading"/>
              <w:bidi w:val="0"/>
              <w:spacing w:before="0" w:after="40"/>
              <w:jc w:val="end"/>
              <w:rPr>
                <w:b/>
                <w:bCs/>
              </w:rPr>
            </w:pPr>
            <w:r>
              <w:rPr>
                <w:b/>
                <w:bCs/>
                <w:sz w:val="19"/>
                <w:color w:val="FFFFFF"/>
              </w:rPr>
              <w:t>Capítulo</w:t>
            </w:r>
          </w:p>
        </w:tc>
      </w:tr>
      <w:tr>
        <w:trPr>
          <w:cantSplit/>
        </w:trPr>
        <w:tc>
          <w:tcPr>
            <w:tcW w:w="4679" w:type="dxa"/>
            <w:tcBorders/>
            <w:vAlign w:val="center"/>
          </w:tcPr>
          <w:p>
            <w:pPr>
              <w:pStyle w:val="TableContents"/>
              <w:suppressLineNumbers/>
              <w:bidi w:val="0"/>
              <w:spacing w:before="0" w:after="40"/>
              <w:ind w:hanging="0" w:start="43" w:end="43"/>
              <w:rPr/>
            </w:pPr>
            <w:r>
              <w:rPr>
                <w:sz w:val="19"/>
              </w:rPr>
              <w:t>Controles do Anexo A</w:t>
            </w:r>
          </w:p>
        </w:tc>
        <w:tc>
          <w:tcPr>
            <w:tcW w:w="4681" w:type="dxa"/>
            <w:tcBorders/>
            <w:vAlign w:val="center"/>
          </w:tcPr>
          <w:p>
            <w:pPr>
              <w:pStyle w:val="TableContents"/>
              <w:bidi w:val="0"/>
              <w:spacing w:before="0" w:after="40"/>
              <w:jc w:val="end"/>
              <w:rPr/>
            </w:pPr>
            <w:r>
              <w:rPr>
                <w:sz w:val="19"/>
              </w:rPr>
              <w:t>20–28</w:t>
            </w:r>
          </w:p>
        </w:tc>
      </w:tr>
      <w:tr>
        <w:trPr>
          <w:cantSplit/>
        </w:trPr>
        <w:tc>
          <w:tcPr>
            <w:tcW w:w="4679" w:type="dxa"/>
            <w:tcBorders/>
            <w:vAlign w:val="center"/>
          </w:tcPr>
          <w:p>
            <w:pPr>
              <w:pStyle w:val="TableContents"/>
              <w:suppressLineNumbers/>
              <w:bidi w:val="0"/>
              <w:spacing w:before="0" w:after="40"/>
              <w:ind w:hanging="0" w:start="43" w:end="43"/>
              <w:rPr/>
            </w:pPr>
            <w:r>
              <w:rPr>
                <w:sz w:val="19"/>
              </w:rPr>
              <w:t>Auditoria</w:t>
            </w:r>
          </w:p>
        </w:tc>
        <w:tc>
          <w:tcPr>
            <w:tcW w:w="4681" w:type="dxa"/>
            <w:tcBorders/>
            <w:vAlign w:val="center"/>
          </w:tcPr>
          <w:p>
            <w:pPr>
              <w:pStyle w:val="TableContents"/>
              <w:bidi w:val="0"/>
              <w:spacing w:before="0" w:after="40"/>
              <w:jc w:val="end"/>
              <w:rPr/>
            </w:pPr>
            <w:r>
              <w:rPr>
                <w:sz w:val="19"/>
              </w:rPr>
              <w:t>17, 29</w:t>
            </w:r>
          </w:p>
        </w:tc>
      </w:tr>
      <w:tr>
        <w:trPr>
          <w:cantSplit/>
        </w:trPr>
        <w:tc>
          <w:tcPr>
            <w:tcW w:w="4679" w:type="dxa"/>
            <w:tcBorders/>
            <w:vAlign w:val="center"/>
          </w:tcPr>
          <w:p>
            <w:pPr>
              <w:pStyle w:val="TableContents"/>
              <w:suppressLineNumbers/>
              <w:bidi w:val="0"/>
              <w:spacing w:before="0" w:after="40"/>
              <w:ind w:hanging="0" w:start="43" w:end="43"/>
              <w:rPr/>
            </w:pPr>
            <w:r>
              <w:rPr>
                <w:sz w:val="19"/>
              </w:rPr>
              <w:t>Certificação</w:t>
            </w:r>
          </w:p>
        </w:tc>
        <w:tc>
          <w:tcPr>
            <w:tcW w:w="4681" w:type="dxa"/>
            <w:tcBorders/>
            <w:vAlign w:val="center"/>
          </w:tcPr>
          <w:p>
            <w:pPr>
              <w:pStyle w:val="TableContents"/>
              <w:bidi w:val="0"/>
              <w:spacing w:before="0" w:after="40"/>
              <w:jc w:val="end"/>
              <w:rPr/>
            </w:pPr>
            <w:r>
              <w:rPr>
                <w:sz w:val="19"/>
              </w:rPr>
              <w:t>29</w:t>
            </w:r>
          </w:p>
        </w:tc>
      </w:tr>
      <w:tr>
        <w:trPr>
          <w:cantSplit/>
        </w:trPr>
        <w:tc>
          <w:tcPr>
            <w:tcW w:w="4679" w:type="dxa"/>
            <w:tcBorders/>
            <w:vAlign w:val="center"/>
          </w:tcPr>
          <w:p>
            <w:pPr>
              <w:pStyle w:val="TableContents"/>
              <w:suppressLineNumbers/>
              <w:bidi w:val="0"/>
              <w:spacing w:before="0" w:after="40"/>
              <w:ind w:hanging="0" w:start="43" w:end="43"/>
              <w:rPr/>
            </w:pPr>
            <w:r>
              <w:rPr>
                <w:sz w:val="19"/>
              </w:rPr>
              <w:t>Contexto/escopo</w:t>
            </w:r>
          </w:p>
        </w:tc>
        <w:tc>
          <w:tcPr>
            <w:tcW w:w="4681" w:type="dxa"/>
            <w:tcBorders/>
            <w:vAlign w:val="center"/>
          </w:tcPr>
          <w:p>
            <w:pPr>
              <w:pStyle w:val="TableContents"/>
              <w:bidi w:val="0"/>
              <w:spacing w:before="0" w:after="40"/>
              <w:jc w:val="end"/>
              <w:rPr/>
            </w:pPr>
            <w:r>
              <w:rPr>
                <w:sz w:val="19"/>
              </w:rPr>
              <w:t>3–4</w:t>
            </w:r>
          </w:p>
        </w:tc>
      </w:tr>
      <w:tr>
        <w:trPr>
          <w:cantSplit/>
        </w:trPr>
        <w:tc>
          <w:tcPr>
            <w:tcW w:w="4679" w:type="dxa"/>
            <w:tcBorders/>
            <w:vAlign w:val="center"/>
          </w:tcPr>
          <w:p>
            <w:pPr>
              <w:pStyle w:val="TableContents"/>
              <w:suppressLineNumbers/>
              <w:bidi w:val="0"/>
              <w:spacing w:before="0" w:after="40"/>
              <w:ind w:hanging="0" w:start="43" w:end="43"/>
              <w:rPr/>
            </w:pPr>
            <w:r>
              <w:rPr>
                <w:sz w:val="19"/>
              </w:rPr>
              <w:t>Ação corretiva</w:t>
            </w:r>
          </w:p>
        </w:tc>
        <w:tc>
          <w:tcPr>
            <w:tcW w:w="4681" w:type="dxa"/>
            <w:tcBorders/>
            <w:vAlign w:val="center"/>
          </w:tcPr>
          <w:p>
            <w:pPr>
              <w:pStyle w:val="TableContents"/>
              <w:bidi w:val="0"/>
              <w:spacing w:before="0" w:after="40"/>
              <w:jc w:val="end"/>
              <w:rPr/>
            </w:pPr>
            <w:r>
              <w:rPr>
                <w:sz w:val="19"/>
              </w:rPr>
              <w:t>19</w:t>
            </w:r>
          </w:p>
        </w:tc>
      </w:tr>
      <w:tr>
        <w:trPr>
          <w:cantSplit/>
        </w:trPr>
        <w:tc>
          <w:tcPr>
            <w:tcW w:w="4679" w:type="dxa"/>
            <w:tcBorders/>
            <w:vAlign w:val="center"/>
          </w:tcPr>
          <w:p>
            <w:pPr>
              <w:pStyle w:val="TableContents"/>
              <w:suppressLineNumbers/>
              <w:bidi w:val="0"/>
              <w:spacing w:before="0" w:after="40"/>
              <w:ind w:hanging="0" w:start="43" w:end="43"/>
              <w:rPr/>
            </w:pPr>
            <w:r>
              <w:rPr>
                <w:sz w:val="19"/>
              </w:rPr>
              <w:t>Dados</w:t>
            </w:r>
          </w:p>
        </w:tc>
        <w:tc>
          <w:tcPr>
            <w:tcW w:w="4681" w:type="dxa"/>
            <w:tcBorders/>
            <w:vAlign w:val="center"/>
          </w:tcPr>
          <w:p>
            <w:pPr>
              <w:pStyle w:val="TableContents"/>
              <w:bidi w:val="0"/>
              <w:spacing w:before="0" w:after="40"/>
              <w:jc w:val="end"/>
              <w:rPr/>
            </w:pPr>
            <w:r>
              <w:rPr>
                <w:sz w:val="19"/>
              </w:rPr>
              <w:t>23, 26</w:t>
            </w:r>
          </w:p>
        </w:tc>
      </w:tr>
      <w:tr>
        <w:trPr>
          <w:cantSplit/>
        </w:trPr>
        <w:tc>
          <w:tcPr>
            <w:tcW w:w="4679" w:type="dxa"/>
            <w:tcBorders/>
            <w:vAlign w:val="center"/>
          </w:tcPr>
          <w:p>
            <w:pPr>
              <w:pStyle w:val="TableContents"/>
              <w:suppressLineNumbers/>
              <w:bidi w:val="0"/>
              <w:spacing w:before="0" w:after="40"/>
              <w:ind w:hanging="0" w:start="43" w:end="43"/>
              <w:rPr/>
            </w:pPr>
            <w:r>
              <w:rPr>
                <w:sz w:val="19"/>
              </w:rPr>
              <w:t>Documentos</w:t>
            </w:r>
          </w:p>
        </w:tc>
        <w:tc>
          <w:tcPr>
            <w:tcW w:w="4681" w:type="dxa"/>
            <w:tcBorders/>
            <w:vAlign w:val="center"/>
          </w:tcPr>
          <w:p>
            <w:pPr>
              <w:pStyle w:val="TableContents"/>
              <w:bidi w:val="0"/>
              <w:spacing w:before="0" w:after="40"/>
              <w:jc w:val="end"/>
              <w:rPr/>
            </w:pPr>
            <w:r>
              <w:rPr>
                <w:sz w:val="19"/>
              </w:rPr>
              <w:t>13</w:t>
            </w:r>
          </w:p>
        </w:tc>
      </w:tr>
      <w:tr>
        <w:trPr>
          <w:cantSplit/>
        </w:trPr>
        <w:tc>
          <w:tcPr>
            <w:tcW w:w="4679" w:type="dxa"/>
            <w:tcBorders/>
            <w:vAlign w:val="center"/>
          </w:tcPr>
          <w:p>
            <w:pPr>
              <w:pStyle w:val="TableContents"/>
              <w:suppressLineNumbers/>
              <w:bidi w:val="0"/>
              <w:spacing w:before="0" w:after="40"/>
              <w:ind w:hanging="0" w:start="43" w:end="43"/>
              <w:rPr/>
            </w:pPr>
            <w:r>
              <w:rPr>
                <w:sz w:val="19"/>
              </w:rPr>
              <w:t>Avaliação de impacto</w:t>
            </w:r>
          </w:p>
        </w:tc>
        <w:tc>
          <w:tcPr>
            <w:tcW w:w="4681" w:type="dxa"/>
            <w:tcBorders/>
            <w:vAlign w:val="center"/>
          </w:tcPr>
          <w:p>
            <w:pPr>
              <w:pStyle w:val="TableContents"/>
              <w:bidi w:val="0"/>
              <w:spacing w:before="0" w:after="40"/>
              <w:jc w:val="end"/>
              <w:rPr/>
            </w:pPr>
            <w:r>
              <w:rPr>
                <w:sz w:val="19"/>
              </w:rPr>
              <w:t>9, 24</w:t>
            </w:r>
          </w:p>
        </w:tc>
      </w:tr>
      <w:tr>
        <w:trPr>
          <w:cantSplit/>
        </w:trPr>
        <w:tc>
          <w:tcPr>
            <w:tcW w:w="4679" w:type="dxa"/>
            <w:tcBorders/>
            <w:vAlign w:val="center"/>
          </w:tcPr>
          <w:p>
            <w:pPr>
              <w:pStyle w:val="TableContents"/>
              <w:suppressLineNumbers/>
              <w:bidi w:val="0"/>
              <w:spacing w:before="0" w:after="40"/>
              <w:ind w:hanging="0" w:start="43" w:end="43"/>
              <w:rPr/>
            </w:pPr>
            <w:r>
              <w:rPr>
                <w:sz w:val="19"/>
              </w:rPr>
              <w:t>Partes interessadas</w:t>
            </w:r>
          </w:p>
        </w:tc>
        <w:tc>
          <w:tcPr>
            <w:tcW w:w="4681" w:type="dxa"/>
            <w:tcBorders/>
            <w:vAlign w:val="center"/>
          </w:tcPr>
          <w:p>
            <w:pPr>
              <w:pStyle w:val="TableContents"/>
              <w:bidi w:val="0"/>
              <w:spacing w:before="0" w:after="40"/>
              <w:jc w:val="end"/>
              <w:rPr/>
            </w:pPr>
            <w:r>
              <w:rPr>
                <w:sz w:val="19"/>
              </w:rPr>
              <w:t>4, 27</w:t>
            </w:r>
          </w:p>
        </w:tc>
      </w:tr>
      <w:tr>
        <w:trPr>
          <w:cantSplit/>
        </w:trPr>
        <w:tc>
          <w:tcPr>
            <w:tcW w:w="4679" w:type="dxa"/>
            <w:tcBorders/>
            <w:vAlign w:val="center"/>
          </w:tcPr>
          <w:p>
            <w:pPr>
              <w:pStyle w:val="TableContents"/>
              <w:suppressLineNumbers/>
              <w:bidi w:val="0"/>
              <w:spacing w:before="0" w:after="40"/>
              <w:ind w:hanging="0" w:start="43" w:end="43"/>
              <w:rPr/>
            </w:pPr>
            <w:r>
              <w:rPr>
                <w:sz w:val="19"/>
              </w:rPr>
              <w:t>Liderança/política</w:t>
            </w:r>
          </w:p>
        </w:tc>
        <w:tc>
          <w:tcPr>
            <w:tcW w:w="4681" w:type="dxa"/>
            <w:tcBorders/>
            <w:vAlign w:val="center"/>
          </w:tcPr>
          <w:p>
            <w:pPr>
              <w:pStyle w:val="TableContents"/>
              <w:bidi w:val="0"/>
              <w:spacing w:before="0" w:after="40"/>
              <w:jc w:val="end"/>
              <w:rPr/>
            </w:pPr>
            <w:r>
              <w:rPr>
                <w:sz w:val="19"/>
              </w:rPr>
              <w:t>5, 21</w:t>
            </w:r>
          </w:p>
        </w:tc>
      </w:tr>
      <w:tr>
        <w:trPr>
          <w:cantSplit/>
        </w:trPr>
        <w:tc>
          <w:tcPr>
            <w:tcW w:w="4679" w:type="dxa"/>
            <w:tcBorders/>
            <w:vAlign w:val="center"/>
          </w:tcPr>
          <w:p>
            <w:pPr>
              <w:pStyle w:val="TableContents"/>
              <w:suppressLineNumbers/>
              <w:bidi w:val="0"/>
              <w:spacing w:before="0" w:after="40"/>
              <w:ind w:hanging="0" w:start="43" w:end="43"/>
              <w:rPr/>
            </w:pPr>
            <w:r>
              <w:rPr>
                <w:sz w:val="19"/>
              </w:rPr>
              <w:t>Ciclo de vida</w:t>
            </w:r>
          </w:p>
        </w:tc>
        <w:tc>
          <w:tcPr>
            <w:tcW w:w="4681" w:type="dxa"/>
            <w:tcBorders/>
            <w:vAlign w:val="center"/>
          </w:tcPr>
          <w:p>
            <w:pPr>
              <w:pStyle w:val="TableContents"/>
              <w:bidi w:val="0"/>
              <w:spacing w:before="0" w:after="40"/>
              <w:jc w:val="end"/>
              <w:rPr/>
            </w:pPr>
            <w:r>
              <w:rPr>
                <w:sz w:val="19"/>
              </w:rPr>
              <w:t>14–15, 25</w:t>
            </w:r>
          </w:p>
        </w:tc>
      </w:tr>
      <w:tr>
        <w:trPr>
          <w:cantSplit/>
        </w:trPr>
        <w:tc>
          <w:tcPr>
            <w:tcW w:w="4679" w:type="dxa"/>
            <w:tcBorders/>
            <w:vAlign w:val="center"/>
          </w:tcPr>
          <w:p>
            <w:pPr>
              <w:pStyle w:val="TableContents"/>
              <w:suppressLineNumbers/>
              <w:bidi w:val="0"/>
              <w:spacing w:before="0" w:after="40"/>
              <w:ind w:hanging="0" w:start="43" w:end="43"/>
              <w:rPr/>
            </w:pPr>
            <w:r>
              <w:rPr>
                <w:sz w:val="19"/>
              </w:rPr>
              <w:t>Gestor/analista júnior</w:t>
            </w:r>
          </w:p>
        </w:tc>
        <w:tc>
          <w:tcPr>
            <w:tcW w:w="4681" w:type="dxa"/>
            <w:tcBorders/>
            <w:vAlign w:val="center"/>
          </w:tcPr>
          <w:p>
            <w:pPr>
              <w:pStyle w:val="TableContents"/>
              <w:bidi w:val="0"/>
              <w:spacing w:before="0" w:after="40"/>
              <w:jc w:val="end"/>
              <w:rPr/>
            </w:pPr>
            <w:r>
              <w:rPr>
                <w:sz w:val="19"/>
              </w:rPr>
              <w:t>31</w:t>
            </w:r>
          </w:p>
        </w:tc>
      </w:tr>
      <w:tr>
        <w:trPr>
          <w:cantSplit/>
        </w:trPr>
        <w:tc>
          <w:tcPr>
            <w:tcW w:w="4679" w:type="dxa"/>
            <w:tcBorders/>
            <w:vAlign w:val="center"/>
          </w:tcPr>
          <w:p>
            <w:pPr>
              <w:pStyle w:val="TableContents"/>
              <w:suppressLineNumbers/>
              <w:bidi w:val="0"/>
              <w:spacing w:before="0" w:after="40"/>
              <w:ind w:hanging="0" w:start="43" w:end="43"/>
              <w:rPr/>
            </w:pPr>
            <w:r>
              <w:rPr>
                <w:sz w:val="19"/>
              </w:rPr>
              <w:t>Medição/análise crítica</w:t>
            </w:r>
          </w:p>
        </w:tc>
        <w:tc>
          <w:tcPr>
            <w:tcW w:w="4681" w:type="dxa"/>
            <w:tcBorders/>
            <w:vAlign w:val="center"/>
          </w:tcPr>
          <w:p>
            <w:pPr>
              <w:pStyle w:val="TableContents"/>
              <w:bidi w:val="0"/>
              <w:spacing w:before="0" w:after="40"/>
              <w:jc w:val="end"/>
              <w:rPr/>
            </w:pPr>
            <w:r>
              <w:rPr>
                <w:sz w:val="19"/>
              </w:rPr>
              <w:t>16–18</w:t>
            </w:r>
          </w:p>
        </w:tc>
      </w:tr>
      <w:tr>
        <w:trPr>
          <w:cantSplit/>
        </w:trPr>
        <w:tc>
          <w:tcPr>
            <w:tcW w:w="4679" w:type="dxa"/>
            <w:tcBorders/>
            <w:vAlign w:val="center"/>
          </w:tcPr>
          <w:p>
            <w:pPr>
              <w:pStyle w:val="TableContents"/>
              <w:suppressLineNumbers/>
              <w:bidi w:val="0"/>
              <w:spacing w:before="0" w:after="40"/>
              <w:ind w:hanging="0" w:start="43" w:end="43"/>
              <w:rPr/>
            </w:pPr>
            <w:r>
              <w:rPr>
                <w:sz w:val="19"/>
              </w:rPr>
              <w:t>Objetivos/mudança</w:t>
            </w:r>
          </w:p>
        </w:tc>
        <w:tc>
          <w:tcPr>
            <w:tcW w:w="4681" w:type="dxa"/>
            <w:tcBorders/>
            <w:vAlign w:val="center"/>
          </w:tcPr>
          <w:p>
            <w:pPr>
              <w:pStyle w:val="TableContents"/>
              <w:bidi w:val="0"/>
              <w:spacing w:before="0" w:after="40"/>
              <w:jc w:val="end"/>
              <w:rPr/>
            </w:pPr>
            <w:r>
              <w:rPr>
                <w:sz w:val="19"/>
              </w:rPr>
              <w:t>10</w:t>
            </w:r>
          </w:p>
        </w:tc>
      </w:tr>
      <w:tr>
        <w:trPr>
          <w:cantSplit/>
        </w:trPr>
        <w:tc>
          <w:tcPr>
            <w:tcW w:w="4679" w:type="dxa"/>
            <w:tcBorders/>
            <w:vAlign w:val="center"/>
          </w:tcPr>
          <w:p>
            <w:pPr>
              <w:pStyle w:val="TableContents"/>
              <w:suppressLineNumbers/>
              <w:bidi w:val="0"/>
              <w:spacing w:before="0" w:after="40"/>
              <w:ind w:hanging="0" w:start="43" w:end="43"/>
              <w:rPr/>
            </w:pPr>
            <w:r>
              <w:rPr>
                <w:sz w:val="19"/>
              </w:rPr>
              <w:t>Recursos/competência</w:t>
            </w:r>
          </w:p>
        </w:tc>
        <w:tc>
          <w:tcPr>
            <w:tcW w:w="4681" w:type="dxa"/>
            <w:tcBorders/>
            <w:vAlign w:val="center"/>
          </w:tcPr>
          <w:p>
            <w:pPr>
              <w:pStyle w:val="TableContents"/>
              <w:bidi w:val="0"/>
              <w:spacing w:before="0" w:after="40"/>
              <w:jc w:val="end"/>
              <w:rPr/>
            </w:pPr>
            <w:r>
              <w:rPr>
                <w:sz w:val="19"/>
              </w:rPr>
              <w:t>11–12, 23</w:t>
            </w:r>
          </w:p>
        </w:tc>
      </w:tr>
      <w:tr>
        <w:trPr>
          <w:cantSplit/>
        </w:trPr>
        <w:tc>
          <w:tcPr>
            <w:tcW w:w="4679" w:type="dxa"/>
            <w:tcBorders/>
            <w:vAlign w:val="center"/>
          </w:tcPr>
          <w:p>
            <w:pPr>
              <w:pStyle w:val="TableContents"/>
              <w:suppressLineNumbers/>
              <w:bidi w:val="0"/>
              <w:spacing w:before="0" w:after="40"/>
              <w:ind w:hanging="0" w:start="43" w:end="43"/>
              <w:rPr/>
            </w:pPr>
            <w:r>
              <w:rPr>
                <w:sz w:val="19"/>
              </w:rPr>
              <w:t>Risco/tratamento/Declaração de Aplicabilidade</w:t>
            </w:r>
          </w:p>
        </w:tc>
        <w:tc>
          <w:tcPr>
            <w:tcW w:w="4681" w:type="dxa"/>
            <w:tcBorders/>
            <w:vAlign w:val="center"/>
          </w:tcPr>
          <w:p>
            <w:pPr>
              <w:pStyle w:val="TableContents"/>
              <w:bidi w:val="0"/>
              <w:spacing w:before="0" w:after="40"/>
              <w:jc w:val="end"/>
              <w:rPr/>
            </w:pPr>
            <w:r>
              <w:rPr>
                <w:sz w:val="19"/>
              </w:rPr>
              <w:t>6–8</w:t>
            </w:r>
          </w:p>
        </w:tc>
      </w:tr>
      <w:tr>
        <w:trPr>
          <w:cantSplit/>
        </w:trPr>
        <w:tc>
          <w:tcPr>
            <w:tcW w:w="4679" w:type="dxa"/>
            <w:tcBorders/>
            <w:vAlign w:val="center"/>
          </w:tcPr>
          <w:p>
            <w:pPr>
              <w:pStyle w:val="TableContents"/>
              <w:suppressLineNumbers/>
              <w:bidi w:val="0"/>
              <w:spacing w:before="0" w:after="40"/>
              <w:ind w:hanging="0" w:start="43" w:end="43"/>
              <w:rPr/>
            </w:pPr>
            <w:r>
              <w:rPr>
                <w:sz w:val="19"/>
              </w:rPr>
              <w:t>Fornecedores/uso</w:t>
            </w:r>
          </w:p>
        </w:tc>
        <w:tc>
          <w:tcPr>
            <w:tcW w:w="4681" w:type="dxa"/>
            <w:tcBorders/>
            <w:vAlign w:val="center"/>
          </w:tcPr>
          <w:p>
            <w:pPr>
              <w:pStyle w:val="TableContents"/>
              <w:bidi w:val="0"/>
              <w:spacing w:before="0" w:after="40"/>
              <w:jc w:val="end"/>
              <w:rPr/>
            </w:pPr>
            <w:r>
              <w:rPr>
                <w:sz w:val="19"/>
              </w:rPr>
              <w:t>28</w:t>
            </w:r>
          </w:p>
        </w:tc>
      </w:tr>
      <w:tr>
        <w:trPr>
          <w:cantSplit/>
        </w:trPr>
        <w:tc>
          <w:tcPr>
            <w:tcW w:w="4679" w:type="dxa"/>
            <w:tcBorders/>
            <w:vAlign w:val="center"/>
          </w:tcPr>
          <w:p>
            <w:pPr>
              <w:pStyle w:val="TableContents"/>
              <w:suppressLineNumbers/>
              <w:bidi w:val="0"/>
              <w:spacing w:before="0" w:after="40"/>
              <w:ind w:hanging="0" w:start="43" w:end="43"/>
              <w:rPr/>
            </w:pPr>
            <w:r>
              <w:rPr>
                <w:sz w:val="19"/>
              </w:rPr>
              <w:t>Ferramentas</w:t>
            </w:r>
          </w:p>
        </w:tc>
        <w:tc>
          <w:tcPr>
            <w:tcW w:w="4681" w:type="dxa"/>
            <w:tcBorders/>
            <w:vAlign w:val="center"/>
          </w:tcPr>
          <w:p>
            <w:pPr>
              <w:pStyle w:val="TableContents"/>
              <w:bidi w:val="0"/>
              <w:spacing w:before="0" w:after="40"/>
              <w:jc w:val="end"/>
              <w:rPr/>
            </w:pPr>
            <w:r>
              <w:rPr>
                <w:sz w:val="19"/>
              </w:rPr>
              <w:t>30</w:t>
            </w:r>
          </w:p>
        </w:tc>
      </w:tr>
    </w:tbl>
    <w:p>
      <w:pPr>
        <w:pStyle w:val="Heading2"/>
        <w:tabs>
          <w:tab w:val="clear" w:pos="709"/>
          <w:tab w:val="left" w:pos="0" w:leader="none"/>
        </w:tabs>
        <w:bidi w:val="0"/>
        <w:ind w:hanging="0" w:start="0"/>
        <w:jc w:val="left"/>
        <w:rPr/>
        <w:keepNext/>
      </w:pPr>
      <w:bookmarkStart w:id="125" w:name="referências-oficiais"/>
      <w:r>
        <w:rPr/>
        <w:t>32.9 Referências oficiais</w:t>
      </w:r>
      <w:bookmarkEnd w:id="125"/>
    </w:p>
    <w:p>
      <w:pPr>
        <w:pStyle w:val="BodyText"/>
        <w:numPr>
          <w:ilvl w:val="0"/>
          <w:numId w:val="49"/>
        </w:numPr>
        <w:bidi w:val="0"/>
        <w:spacing w:before="0" w:after="0"/>
        <w:rPr/>
      </w:pPr>
      <w:hyperlink r:id="rId40">
        <w:r>
          <w:rPr>
            <w:rStyle w:val="Hyperlink"/>
          </w:rPr>
          <w:t>Página oficial ISO/IEC 42001:2023</w:t>
        </w:r>
      </w:hyperlink>
    </w:p>
    <w:p>
      <w:pPr>
        <w:pStyle w:val="BodyText"/>
        <w:numPr>
          <w:ilvl w:val="0"/>
          <w:numId w:val="49"/>
        </w:numPr>
        <w:bidi w:val="0"/>
        <w:spacing w:before="0" w:after="0"/>
        <w:rPr/>
      </w:pPr>
      <w:hyperlink r:id="rId41">
        <w:r>
          <w:rPr>
            <w:rStyle w:val="Hyperlink"/>
          </w:rPr>
          <w:t>ISO 42001 explicada</w:t>
        </w:r>
      </w:hyperlink>
    </w:p>
    <w:p>
      <w:pPr>
        <w:pStyle w:val="BodyText"/>
        <w:numPr>
          <w:ilvl w:val="0"/>
          <w:numId w:val="49"/>
        </w:numPr>
        <w:bidi w:val="0"/>
        <w:spacing w:before="0" w:after="0"/>
        <w:rPr/>
      </w:pPr>
      <w:r>
        <w:fldChar w:fldCharType="begin"/>
      </w:r>
      <w:r>
        <w:rPr>
          <w:rStyle w:val="Hyperlink"/>
        </w:rPr>
        <w:instrText xml:space="preserve"> HYPERLINK "https://www.iso.org/obp/ui/en/" \l "iso:std:iso-iec:42001:ed-1:v1:en"</w:instrText>
      </w:r>
      <w:r>
        <w:rPr>
          <w:rStyle w:val="Hyperlink"/>
        </w:rPr>
        <w:fldChar w:fldCharType="separate"/>
      </w:r>
      <w:r>
        <w:rPr>
          <w:rStyle w:val="Hyperlink"/>
        </w:rPr>
        <w:t>ISO/IEC 42001 Online Browsing Platform</w:t>
      </w:r>
      <w:r>
        <w:rPr>
          <w:rStyle w:val="Hyperlink"/>
        </w:rPr>
        <w:fldChar w:fldCharType="end"/>
      </w:r>
    </w:p>
    <w:p>
      <w:pPr>
        <w:pStyle w:val="BodyText"/>
        <w:numPr>
          <w:ilvl w:val="0"/>
          <w:numId w:val="49"/>
        </w:numPr>
        <w:bidi w:val="0"/>
        <w:spacing w:before="0" w:after="0"/>
        <w:rPr/>
      </w:pPr>
      <w:hyperlink r:id="rId42">
        <w:r>
          <w:rPr>
            <w:rStyle w:val="Hyperlink"/>
          </w:rPr>
          <w:t>ISO/IEC 42005:2025 — avaliação de impacto de sistemas de IA</w:t>
        </w:r>
      </w:hyperlink>
    </w:p>
    <w:p>
      <w:pPr>
        <w:pStyle w:val="BodyText"/>
        <w:numPr>
          <w:ilvl w:val="0"/>
          <w:numId w:val="49"/>
        </w:numPr>
        <w:bidi w:val="0"/>
        <w:spacing w:before="0" w:after="0"/>
        <w:rPr/>
      </w:pPr>
      <w:hyperlink r:id="rId43">
        <w:r>
          <w:rPr>
            <w:rStyle w:val="Hyperlink"/>
          </w:rPr>
          <w:t>ISO/IEC 42006:2025 — organismos de certificação</w:t>
        </w:r>
      </w:hyperlink>
    </w:p>
    <w:p>
      <w:pPr>
        <w:pStyle w:val="BodyText"/>
        <w:numPr>
          <w:ilvl w:val="0"/>
          <w:numId w:val="49"/>
        </w:numPr>
        <w:bidi w:val="0"/>
        <w:spacing w:before="0" w:after="0"/>
        <w:rPr/>
      </w:pPr>
      <w:hyperlink r:id="rId44">
        <w:r>
          <w:rPr>
            <w:rStyle w:val="Hyperlink"/>
          </w:rPr>
          <w:t>ISO 19011:2026 — diretrizes de auditoria</w:t>
        </w:r>
      </w:hyperlink>
    </w:p>
    <w:p>
      <w:pPr>
        <w:pStyle w:val="BodyText"/>
        <w:numPr>
          <w:ilvl w:val="0"/>
          <w:numId w:val="49"/>
        </w:numPr>
        <w:bidi w:val="0"/>
        <w:spacing w:before="0" w:after="0"/>
        <w:rPr/>
      </w:pPr>
      <w:hyperlink r:id="rId45">
        <w:r>
          <w:rPr>
            <w:rStyle w:val="Hyperlink"/>
          </w:rPr>
          <w:t>ISO/IEC 23894:2023 — gestão de riscos de IA</w:t>
        </w:r>
      </w:hyperlink>
    </w:p>
    <w:p>
      <w:pPr>
        <w:pStyle w:val="BodyText"/>
        <w:numPr>
          <w:ilvl w:val="0"/>
          <w:numId w:val="49"/>
        </w:numPr>
        <w:bidi w:val="0"/>
        <w:spacing w:before="0" w:after="0"/>
        <w:rPr/>
      </w:pPr>
      <w:hyperlink r:id="rId46">
        <w:r>
          <w:rPr>
            <w:rStyle w:val="Hyperlink"/>
          </w:rPr>
          <w:t>ISO/IEC 22989:2022 — conceitos e terminologia de IA</w:t>
        </w:r>
      </w:hyperlink>
    </w:p>
    <w:p>
      <w:pPr>
        <w:pStyle w:val="BodyText"/>
        <w:numPr>
          <w:ilvl w:val="0"/>
          <w:numId w:val="49"/>
        </w:numPr>
        <w:bidi w:val="0"/>
        <w:spacing w:before="0" w:after="0"/>
        <w:rPr/>
      </w:pPr>
      <w:hyperlink r:id="rId47">
        <w:r>
          <w:rPr>
            <w:rStyle w:val="Hyperlink"/>
          </w:rPr>
          <w:t>ISO/IEC 23053:2022 — estrutura de sistemas de ML</w:t>
        </w:r>
      </w:hyperlink>
    </w:p>
    <w:p>
      <w:pPr>
        <w:pStyle w:val="BodyText"/>
        <w:numPr>
          <w:ilvl w:val="0"/>
          <w:numId w:val="49"/>
        </w:numPr>
        <w:bidi w:val="0"/>
        <w:spacing w:before="0" w:after="0"/>
        <w:rPr/>
      </w:pPr>
      <w:hyperlink r:id="rId48">
        <w:r>
          <w:rPr>
            <w:rStyle w:val="Hyperlink"/>
          </w:rPr>
          <w:t>ISO/IEC 38507:2022 — implicações de governança de IA</w:t>
        </w:r>
      </w:hyperlink>
    </w:p>
    <w:p>
      <w:pPr>
        <w:pStyle w:val="BodyText"/>
        <w:numPr>
          <w:ilvl w:val="0"/>
          <w:numId w:val="49"/>
        </w:numPr>
        <w:bidi w:val="0"/>
        <w:spacing w:before="0" w:after="0"/>
        <w:rPr/>
      </w:pPr>
      <w:hyperlink r:id="rId49">
        <w:r>
          <w:rPr>
            <w:rStyle w:val="Hyperlink"/>
          </w:rPr>
          <w:t>ISO/IEC 27001:2022 — requisitos de sistemas de gestão de segurança da informação</w:t>
        </w:r>
      </w:hyperlink>
    </w:p>
    <w:p>
      <w:pPr>
        <w:pStyle w:val="BodyText"/>
        <w:numPr>
          <w:ilvl w:val="0"/>
          <w:numId w:val="49"/>
        </w:numPr>
        <w:bidi w:val="0"/>
        <w:spacing w:before="0" w:after="0"/>
        <w:rPr/>
      </w:pPr>
      <w:hyperlink r:id="rId50">
        <w:r>
          <w:rPr>
            <w:rStyle w:val="Hyperlink"/>
          </w:rPr>
          <w:t>ISO/IEC 27001:2022/Amd 1:2024 — mudanças relativas à ação climática</w:t>
        </w:r>
      </w:hyperlink>
    </w:p>
    <w:p>
      <w:pPr>
        <w:pStyle w:val="BodyText"/>
        <w:numPr>
          <w:ilvl w:val="0"/>
          <w:numId w:val="49"/>
        </w:numPr>
        <w:bidi w:val="0"/>
        <w:spacing w:before="0" w:after="0"/>
        <w:rPr/>
      </w:pPr>
      <w:hyperlink r:id="rId51">
        <w:r>
          <w:rPr>
            <w:rStyle w:val="Hyperlink"/>
          </w:rPr>
          <w:t>ISO/IEC 17021-1:2015 — organismos de auditoria e certificação de sistemas de gestão</w:t>
        </w:r>
      </w:hyperlink>
    </w:p>
    <w:p>
      <w:pPr>
        <w:pStyle w:val="BodyText"/>
        <w:numPr>
          <w:ilvl w:val="0"/>
          <w:numId w:val="49"/>
        </w:numPr>
        <w:bidi w:val="0"/>
        <w:spacing w:before="0" w:after="0"/>
        <w:rPr/>
      </w:pPr>
      <w:hyperlink r:id="rId52">
        <w:r>
          <w:rPr>
            <w:rStyle w:val="Hyperlink"/>
          </w:rPr>
          <w:t>Catálogo ISO/IEC JTC 1/SC 42</w:t>
        </w:r>
      </w:hyperlink>
    </w:p>
    <w:p>
      <w:pPr>
        <w:pStyle w:val="BodyText"/>
        <w:numPr>
          <w:ilvl w:val="0"/>
          <w:numId w:val="49"/>
        </w:numPr>
        <w:bidi w:val="0"/>
        <w:spacing w:before="0" w:after="0"/>
        <w:rPr/>
      </w:pPr>
      <w:hyperlink r:id="rId53">
        <w:r>
          <w:rPr>
            <w:rStyle w:val="Hyperlink"/>
          </w:rPr>
          <w:t>Normas ISO de sistemas de gestão</w:t>
        </w:r>
      </w:hyperlink>
    </w:p>
    <w:p>
      <w:pPr>
        <w:pStyle w:val="BodyText"/>
        <w:numPr>
          <w:ilvl w:val="0"/>
          <w:numId w:val="49"/>
        </w:numPr>
        <w:bidi w:val="0"/>
        <w:spacing w:before="0" w:after="0"/>
        <w:rPr/>
      </w:pPr>
      <w:hyperlink r:id="rId54">
        <w:r>
          <w:rPr>
            <w:rStyle w:val="Hyperlink"/>
          </w:rPr>
          <w:t>IAF CertSearch</w:t>
        </w:r>
      </w:hyperlink>
    </w:p>
    <w:p>
      <w:pPr>
        <w:pStyle w:val="BodyText"/>
        <w:numPr>
          <w:ilvl w:val="0"/>
          <w:numId w:val="49"/>
        </w:numPr>
        <w:bidi w:val="0"/>
        <w:spacing w:before="0" w:after="0"/>
        <w:rPr/>
      </w:pPr>
      <w:hyperlink r:id="rId55">
        <w:r>
          <w:rPr>
            <w:rStyle w:val="Hyperlink"/>
          </w:rPr>
          <w:t>NIST AI Risk Management Framework</w:t>
        </w:r>
      </w:hyperlink>
    </w:p>
    <w:p>
      <w:pPr>
        <w:pStyle w:val="BodyText"/>
        <w:numPr>
          <w:ilvl w:val="0"/>
          <w:numId w:val="49"/>
        </w:numPr>
        <w:bidi w:val="0"/>
        <w:spacing w:before="0" w:after="0"/>
        <w:rPr/>
      </w:pPr>
      <w:hyperlink r:id="rId56">
        <w:r>
          <w:rPr>
            <w:rStyle w:val="Hyperlink"/>
          </w:rPr>
          <w:t>Princípios de IA da OCDE</w:t>
        </w:r>
      </w:hyperlink>
    </w:p>
    <w:p>
      <w:pPr>
        <w:pStyle w:val="BodyText"/>
        <w:numPr>
          <w:ilvl w:val="0"/>
          <w:numId w:val="49"/>
        </w:numPr>
        <w:bidi w:val="0"/>
        <w:spacing w:before="0" w:after="0"/>
        <w:rPr/>
      </w:pPr>
      <w:hyperlink r:id="rId57">
        <w:r>
          <w:rPr>
            <w:rStyle w:val="Hyperlink"/>
          </w:rPr>
          <w:t>Página oficial de política do Regulamento de IA da UE</w:t>
        </w:r>
      </w:hyperlink>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Lembrete final:</w:t>
      </w:r>
      <w:r>
        <w:rPr/>
        <w:t xml:space="preserve"> Use uma cópia autorizada da norma. Normas ISO, esquemas de certificação, acreditação, leis, sistemas de IA, fornecedores, riscos, ferramentas e orientações oficiais mudam. Verifique a fonte atual, edição exata, escopo/status do certificado, versão do sistema e fatos organizacionais antes de implementação, auditoria, certificação ou alegações públicas.</w:t>
      </w:r>
    </w:p>
    <w:p>
      <w:pPr>
        <w:pStyle w:val="Normal"/>
        <w:bidi w:val="0"/>
        <w:rPr/>
      </w:pPr>
      <w:r>
        <w:rPr/>
      </w:r>
    </w:p>
    <w:sectPr>
      <w:footerReference w:type="default" r:id="rId58"/>
      <w:headerReference w:type="default" r:id="rId63"/>
      <w:type w:val="nextPage"/>
      <w:pgSz w:w="12240" w:h="15840"/>
      <w:pgMar w:left="1440" w:right="1440" w:gutter="0" w:header="605" w:top="1181" w:footer="605" w:bottom="11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StarSymbol">
    <w:altName w:val="Arial Unicode MS"/>
    <w:charset w:val="01"/>
    <w:family w:val="auto"/>
    <w:pitch w:val="default"/>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t xml:space="preserve">build/iso-iec-42001-manual-02-2026@b1ddffa6a333 | 2026-08-24 | 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Manual 02 | pt-BR | First Edition / v1.0 | DRAFT — HUMAN SEMANTIC REVIEW REQUIRED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lvlText w:val="%1"/>
      <w:lvlJc w:val="start"/>
      <w:pPr>
        <w:tabs>
          <w:tab w:val="num" w:pos="0"/>
        </w:tabs>
        <w:ind w:start="0" w:hanging="0"/>
      </w:pPr>
    </w:lvl>
    <w:lvl w:ilvl="1">
      <w:start w:val="1"/>
      <w:numFmt w:val="none"/>
      <w:pStyle w:val="Heading2"/>
      <w:lvlText w:val="%2"/>
      <w:lvlJc w:val="start"/>
      <w:pPr>
        <w:tabs>
          <w:tab w:val="num" w:pos="0"/>
        </w:tabs>
        <w:ind w:start="0" w:hanging="0"/>
      </w:pPr>
    </w:lvl>
    <w:lvl w:ilvl="2">
      <w:start w:val="1"/>
      <w:numFmt w:val="none"/>
      <w:pStyle w:val="Heading3"/>
      <w:lvlText w:val="%3"/>
      <w:lvlJc w:val="start"/>
      <w:pPr>
        <w:tabs>
          <w:tab w:val="num" w:pos="0"/>
        </w:tabs>
        <w:ind w:start="0" w:hanging="0"/>
      </w:pPr>
    </w:lvl>
    <w:lvl w:ilvl="3">
      <w:start w:val="1"/>
      <w:numFmt w:val="none"/>
      <w:pStyle w:val="Heading4"/>
      <w:lvlText w:val="%4"/>
      <w:lvlJc w:val="start"/>
      <w:pPr>
        <w:tabs>
          <w:tab w:val="num" w:pos="0"/>
        </w:tabs>
        <w:ind w:start="0" w:hanging="0"/>
      </w:pPr>
    </w:lvl>
    <w:lvl w:ilvl="4">
      <w:start w:val="1"/>
      <w:numFmt w:val="none"/>
      <w:pStyle w:val="Heading5"/>
      <w:lvlText w:val="%5"/>
      <w:lvlJc w:val="start"/>
      <w:pPr>
        <w:tabs>
          <w:tab w:val="num" w:pos="0"/>
        </w:tabs>
        <w:ind w:start="0" w:hanging="0"/>
      </w:pPr>
    </w:lvl>
    <w:lvl w:ilvl="5">
      <w:start w:val="1"/>
      <w:numFmt w:val="none"/>
      <w:pStyle w:val="Heading6"/>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pt-BR"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pt-BR" w:eastAsia="pt-BR" w:bidi="zxx"/>
    </w:rPr>
  </w:style>
  <w:style w:type="paragraph" w:styleId="Heading1">
    <w:name w:val="heading 1"/>
    <w:basedOn w:val="Heading"/>
    <w:next w:val="BodyText"/>
    <w:qFormat/>
    <w:pPr>
      <w:numPr>
        <w:ilvl w:val="0"/>
        <w:numId w:val="1"/>
      </w:numPr>
      <w:outlineLvl w:val="0"/>
    </w:pPr>
    <w:rPr>
      <w:b/>
      <w:bCs/>
      <w:sz w:val="32"/>
      <w:szCs w:val="32"/>
      <w:lang w:val="pt-BR" w:eastAsia="pt-BR"/>
    </w:rPr>
  </w:style>
  <w:style w:type="paragraph" w:styleId="Heading2">
    <w:name w:val="heading 2"/>
    <w:basedOn w:val="Heading"/>
    <w:next w:val="BodyText"/>
    <w:qFormat/>
    <w:pPr>
      <w:numPr>
        <w:ilvl w:val="1"/>
        <w:numId w:val="1"/>
      </w:numPr>
      <w:outlineLvl w:val="1"/>
    </w:pPr>
    <w:rPr>
      <w:b/>
      <w:bCs/>
      <w:i/>
      <w:iCs/>
      <w:sz w:val="28"/>
      <w:szCs w:val="28"/>
      <w:lang w:val="pt-BR" w:eastAsia="pt-BR"/>
    </w:rPr>
  </w:style>
  <w:style w:type="paragraph" w:styleId="Heading3">
    <w:name w:val="heading 3"/>
    <w:basedOn w:val="Heading"/>
    <w:next w:val="BodyText"/>
    <w:qFormat/>
    <w:pPr>
      <w:numPr>
        <w:ilvl w:val="2"/>
        <w:numId w:val="1"/>
      </w:numPr>
      <w:outlineLvl w:val="2"/>
    </w:pPr>
    <w:rPr>
      <w:b/>
      <w:bCs/>
      <w:sz w:val="28"/>
      <w:szCs w:val="28"/>
      <w:lang w:val="pt-BR" w:eastAsia="pt-BR"/>
    </w:rPr>
  </w:style>
  <w:style w:type="paragraph" w:styleId="Heading4">
    <w:name w:val="heading 4"/>
    <w:basedOn w:val="Heading"/>
    <w:next w:val="BodyText"/>
    <w:qFormat/>
    <w:pPr>
      <w:numPr>
        <w:ilvl w:val="3"/>
        <w:numId w:val="1"/>
      </w:numPr>
      <w:outlineLvl w:val="3"/>
    </w:pPr>
    <w:rPr>
      <w:b/>
      <w:bCs/>
      <w:i/>
      <w:iCs/>
      <w:sz w:val="24"/>
      <w:szCs w:val="24"/>
      <w:lang w:val="pt-BR" w:eastAsia="pt-BR"/>
    </w:rPr>
  </w:style>
  <w:style w:type="paragraph" w:styleId="Heading5">
    <w:name w:val="heading 5"/>
    <w:basedOn w:val="Heading"/>
    <w:next w:val="BodyText"/>
    <w:qFormat/>
    <w:pPr>
      <w:numPr>
        <w:ilvl w:val="4"/>
        <w:numId w:val="1"/>
      </w:numPr>
      <w:outlineLvl w:val="4"/>
    </w:pPr>
    <w:rPr>
      <w:b/>
      <w:bCs/>
      <w:sz w:val="24"/>
      <w:szCs w:val="24"/>
      <w:lang w:val="pt-BR" w:eastAsia="pt-BR"/>
    </w:rPr>
  </w:style>
  <w:style w:type="paragraph" w:styleId="Heading6">
    <w:name w:val="heading 6"/>
    <w:basedOn w:val="Heading"/>
    <w:next w:val="BodyText"/>
    <w:qFormat/>
    <w:pPr>
      <w:numPr>
        <w:ilvl w:val="5"/>
        <w:numId w:val="1"/>
      </w:numPr>
      <w:outlineLvl w:val="5"/>
    </w:pPr>
    <w:rPr>
      <w:b/>
      <w:bCs/>
      <w:sz w:val="21"/>
      <w:szCs w:val="21"/>
      <w:lang w:val="pt-BR" w:eastAsia="pt-BR"/>
    </w:rPr>
  </w:style>
  <w:style w:type="character" w:styleId="SourceText">
    <w:name w:val="Source_Text"/>
    <w:qFormat/>
    <w:rPr>
      <w:rFonts w:ascii="Courier New" w:hAnsi="Courier New" w:eastAsia="Courier New" w:cs="Courier New"/>
      <w:sz w:val="20"/>
      <w:szCs w:val="20"/>
      <w:lang w:val="pt-BR" w:eastAsia="pt-BR"/>
    </w:rPr>
  </w:style>
  <w:style w:type="character" w:styleId="NumberingSymbols">
    <w:name w:val="Numbering Symbols"/>
    <w:qFormat/>
    <w:rPr>
      <w:lang w:val="pt-BR" w:eastAsia="pt-BR"/>
    </w:rPr>
  </w:style>
  <w:style w:type="character" w:styleId="Bullets">
    <w:name w:val="Bullets"/>
    <w:qFormat/>
    <w:rPr>
      <w:rFonts w:ascii="StarSymbol" w:hAnsi="StarSymbol" w:eastAsia="StarSymbol" w:cs="StarSymbol"/>
      <w:sz w:val="18"/>
      <w:szCs w:val="18"/>
      <w:lang w:val="pt-BR" w:eastAsia="pt-BR"/>
    </w:rPr>
  </w:style>
  <w:style w:type="character" w:styleId="Emphasis">
    <w:name w:val="Emphasis"/>
    <w:qFormat/>
    <w:rPr>
      <w:i/>
      <w:iCs/>
      <w:lang w:val="pt-BR" w:eastAsia="pt-BR"/>
    </w:rPr>
  </w:style>
  <w:style w:type="character" w:styleId="Strong">
    <w:name w:val="Strong"/>
    <w:qFormat/>
    <w:rPr>
      <w:b/>
      <w:bCs/>
      <w:lang w:val="pt-BR" w:eastAsia="pt-BR"/>
    </w:rPr>
  </w:style>
  <w:style w:type="character" w:styleId="Strikeout">
    <w:name w:val="Strikeout"/>
    <w:qFormat/>
    <w:rPr>
      <w:strike/>
      <w:lang w:val="pt-BR" w:eastAsia="pt-BR"/>
    </w:rPr>
  </w:style>
  <w:style w:type="character" w:styleId="Superscript">
    <w:name w:val="Superscript"/>
    <w:qFormat/>
    <w:rPr>
      <w:vertAlign w:val="superscript"/>
      <w:lang w:val="pt-BR" w:eastAsia="pt-BR"/>
    </w:rPr>
  </w:style>
  <w:style w:type="character" w:styleId="Subscript">
    <w:name w:val="Subscript"/>
    <w:qFormat/>
    <w:rPr>
      <w:vertAlign w:val="subscript"/>
      <w:lang w:val="pt-BR" w:eastAsia="pt-BR"/>
    </w:rPr>
  </w:style>
  <w:style w:type="character" w:styleId="Quotation">
    <w:name w:val="Quotation"/>
    <w:qFormat/>
    <w:rPr>
      <w:i/>
      <w:iCs/>
      <w:lang w:val="pt-BR" w:eastAsia="pt-BR"/>
    </w:rPr>
  </w:style>
  <w:style w:type="character" w:styleId="Teletype">
    <w:name w:val="Teletype"/>
    <w:qFormat/>
    <w:rPr>
      <w:rFonts w:ascii="Courier New" w:hAnsi="Courier New" w:eastAsia="Courier New" w:cs="Courier New"/>
      <w:lang w:val="pt-BR" w:eastAsia="pt-BR"/>
    </w:rPr>
  </w:style>
  <w:style w:type="character" w:styleId="Hyperlink">
    <w:name w:val="Hyperlink"/>
    <w:rPr>
      <w:color w:val="000080"/>
      <w:u w:val="single"/>
      <w:lang w:val="pt-BR" w:eastAsia="pt-BR"/>
    </w:rPr>
  </w:style>
  <w:style w:type="character" w:styleId="FootnoteCharacters">
    <w:name w:val="Footnote Characters"/>
    <w:qFormat/>
    <w:rPr>
      <w:lang w:val="pt-BR" w:eastAsia="pt-BR"/>
    </w:rPr>
  </w:style>
  <w:style w:type="character" w:styleId="FootnoteReference">
    <w:name w:val="footnote reference"/>
    <w:rPr>
      <w:vertAlign w:val="superscript"/>
      <w:lang w:val="pt-BR" w:eastAsia="pt-BR"/>
    </w:rPr>
  </w:style>
  <w:style w:type="character" w:styleId="Definition">
    <w:name w:val="Definition"/>
    <w:qFormat/>
    <w:rPr>
      <w:lang w:val="pt-BR" w:eastAsia="pt-BR"/>
    </w:rPr>
  </w:style>
  <w:style w:type="paragraph" w:styleId="Author">
    <w:name w:val="Author"/>
    <w:basedOn w:val="Normal"/>
    <w:qFormat/>
    <w:pPr>
      <w:jc w:val="center"/>
    </w:pPr>
    <w:rPr>
      <w:lang w:val="pt-BR" w:eastAsia="pt-BR"/>
    </w:rPr>
  </w:style>
  <w:style w:type="paragraph" w:styleId="Date">
    <w:name w:val="Date"/>
    <w:basedOn w:val="Normal"/>
    <w:qFormat/>
    <w:pPr>
      <w:jc w:val="center"/>
    </w:pPr>
    <w:rPr>
      <w:lang w:val="pt-BR" w:eastAsia="pt-BR"/>
    </w:rPr>
  </w:style>
  <w:style w:type="paragraph" w:styleId="Abstract">
    <w:name w:val="Abstract"/>
    <w:basedOn w:val="Normal"/>
    <w:qFormat/>
    <w:pPr>
      <w:spacing w:before="144" w:after="144"/>
      <w:ind w:hanging="0" w:start="567" w:end="567"/>
    </w:pPr>
    <w:rPr>
      <w:lang w:val="pt-BR" w:eastAsia="pt-BR"/>
    </w:rPr>
  </w:style>
  <w:style w:type="paragraph" w:styleId="Heading">
    <w:name w:val="Heading"/>
    <w:basedOn w:val="Normal"/>
    <w:next w:val="BodyText"/>
    <w:qFormat/>
    <w:pPr>
      <w:keepNext w:val="true"/>
      <w:spacing w:before="240" w:after="120"/>
    </w:pPr>
    <w:rPr>
      <w:rFonts w:ascii="Arial" w:hAnsi="Arial" w:eastAsia="Lucida Sans Unicode" w:cs="Tahoma"/>
      <w:sz w:val="28"/>
      <w:szCs w:val="28"/>
      <w:lang w:val="pt-BR" w:eastAsia="pt-BR"/>
    </w:rPr>
  </w:style>
  <w:style w:type="paragraph" w:styleId="BodyText">
    <w:name w:val="Body Text"/>
    <w:basedOn w:val="Normal"/>
    <w:pPr>
      <w:spacing w:before="86" w:after="86"/>
    </w:pPr>
    <w:rPr>
      <w:lang w:val="pt-BR" w:eastAsia="pt-BR"/>
    </w:rPr>
  </w:style>
  <w:style w:type="paragraph" w:styleId="List">
    <w:name w:val="List"/>
    <w:basedOn w:val="BodyText"/>
    <w:pPr/>
    <w:rPr>
      <w:rFonts w:cs="Tahoma"/>
      <w:lang w:val="pt-BR" w:eastAsia="pt-BR"/>
    </w:rPr>
  </w:style>
  <w:style w:type="paragraph" w:styleId="Caption">
    <w:name w:val="caption"/>
    <w:basedOn w:val="Normal"/>
    <w:qFormat/>
    <w:pPr>
      <w:suppressLineNumbers/>
      <w:spacing w:before="120" w:after="120"/>
    </w:pPr>
    <w:rPr>
      <w:rFonts w:cs="Tahoma"/>
      <w:i/>
      <w:iCs/>
      <w:sz w:val="24"/>
      <w:szCs w:val="24"/>
      <w:lang w:val="pt-BR" w:eastAsia="pt-BR"/>
    </w:rPr>
  </w:style>
  <w:style w:type="paragraph" w:styleId="Table">
    <w:name w:val="Table"/>
    <w:basedOn w:val="Caption"/>
    <w:qFormat/>
    <w:pPr/>
    <w:rPr>
      <w:lang w:val="pt-BR" w:eastAsia="pt-BR"/>
    </w:rPr>
  </w:style>
  <w:style w:type="paragraph" w:styleId="FigureCaption">
    <w:name w:val="FigureCaption"/>
    <w:basedOn w:val="Caption"/>
    <w:qFormat/>
    <w:pPr/>
    <w:rPr>
      <w:lang w:val="pt-BR" w:eastAsia="pt-BR"/>
    </w:rPr>
  </w:style>
  <w:style w:type="paragraph" w:styleId="Figure">
    <w:name w:val="Figure"/>
    <w:basedOn w:val="Normal"/>
    <w:qFormat/>
    <w:pPr>
      <w:suppressLineNumbers/>
    </w:pPr>
    <w:rPr>
      <w:lang w:val="pt-BR" w:eastAsia="pt-BR"/>
    </w:rPr>
  </w:style>
  <w:style w:type="paragraph" w:styleId="FigureWithCaption">
    <w:name w:val="FigureWithCaption"/>
    <w:basedOn w:val="Figure"/>
    <w:qFormat/>
    <w:pPr>
      <w:keepNext w:val="true"/>
      <w:suppressLineNumbers/>
    </w:pPr>
    <w:rPr>
      <w:lang w:val="pt-BR" w:eastAsia="pt-BR"/>
    </w:rPr>
  </w:style>
  <w:style w:type="paragraph" w:styleId="Index">
    <w:name w:val="Index"/>
    <w:basedOn w:val="Normal"/>
    <w:qFormat/>
    <w:pPr>
      <w:suppressLineNumbers/>
    </w:pPr>
    <w:rPr>
      <w:rFonts w:cs="Tahoma"/>
      <w:lang w:val="pt-BR" w:eastAsia="pt-BR"/>
    </w:rPr>
  </w:style>
  <w:style w:type="paragraph" w:styleId="BlockQuotation">
    <w:name w:val="Block Quotation"/>
    <w:basedOn w:val="Normal"/>
    <w:qFormat/>
    <w:pPr>
      <w:spacing w:before="144" w:after="144"/>
      <w:ind w:hanging="0" w:start="567" w:end="567"/>
    </w:pPr>
    <w:rPr>
      <w:lang w:val="pt-BR" w:eastAsia="pt-BR"/>
    </w:rPr>
  </w:style>
  <w:style w:type="paragraph" w:styleId="PreformattedText">
    <w:name w:val="Preformatted Text"/>
    <w:basedOn w:val="Normal"/>
    <w:qFormat/>
    <w:pPr>
      <w:spacing w:before="0" w:after="0"/>
    </w:pPr>
    <w:rPr>
      <w:rFonts w:ascii="Courier New" w:hAnsi="Courier New" w:eastAsia="Courier New" w:cs="Courier New"/>
      <w:sz w:val="20"/>
      <w:szCs w:val="20"/>
      <w:lang w:val="pt-BR" w:eastAsia="pt-BR"/>
    </w:rPr>
  </w:style>
  <w:style w:type="paragraph" w:styleId="DefinitionTerm">
    <w:name w:val="Definition Term"/>
    <w:basedOn w:val="Normal"/>
    <w:next w:val="DefinitionDefinition"/>
    <w:qFormat/>
    <w:pPr>
      <w:spacing w:before="86" w:after="86"/>
    </w:pPr>
    <w:rPr>
      <w:lang w:val="pt-BR" w:eastAsia="pt-BR"/>
    </w:rPr>
  </w:style>
  <w:style w:type="paragraph" w:styleId="DefinitionDefinition">
    <w:name w:val="Definition Definition"/>
    <w:basedOn w:val="Normal"/>
    <w:next w:val="BodyText"/>
    <w:qFormat/>
    <w:pPr>
      <w:ind w:hanging="0" w:start="720" w:end="0"/>
    </w:pPr>
    <w:rPr>
      <w:lang w:val="pt-BR" w:eastAsia="pt-BR"/>
    </w:rPr>
  </w:style>
  <w:style w:type="paragraph" w:styleId="TableContents">
    <w:name w:val="Table Contents"/>
    <w:basedOn w:val="Normal"/>
    <w:qFormat/>
    <w:pPr>
      <w:suppressLineNumbers/>
      <w:ind w:hanging="0" w:start="43" w:end="43"/>
    </w:pPr>
    <w:rPr>
      <w:lang w:val="pt-BR" w:eastAsia="pt-BR"/>
    </w:rPr>
  </w:style>
  <w:style w:type="paragraph" w:styleId="TableHeading">
    <w:name w:val="Table Heading"/>
    <w:basedOn w:val="TableContents"/>
    <w:qFormat/>
    <w:pPr>
      <w:suppressLineNumbers/>
      <w:ind w:hanging="0" w:start="43" w:end="43"/>
      <w:jc w:val="start"/>
    </w:pPr>
    <w:rPr>
      <w:b/>
      <w:bCs/>
      <w:lang w:val="pt-BR" w:eastAsia="pt-BR"/>
    </w:rPr>
  </w:style>
  <w:style w:type="paragraph" w:styleId="FootnoteText">
    <w:name w:val="footnote text"/>
    <w:basedOn w:val="Normal"/>
    <w:pPr>
      <w:suppressLineNumbers/>
      <w:ind w:hanging="283" w:start="283" w:end="0"/>
    </w:pPr>
    <w:rPr>
      <w:sz w:val="20"/>
      <w:szCs w:val="20"/>
      <w:lang w:val="pt-BR" w:eastAsia="pt-BR"/>
    </w:rPr>
  </w:style>
  <w:style w:type="paragraph" w:styleId="HeaderandFooter">
    <w:name w:val="Header and Footer"/>
    <w:basedOn w:val="Normal"/>
    <w:qFormat/>
    <w:pPr>
      <w:suppressLineNumbers/>
      <w:tabs>
        <w:tab w:val="clear" w:pos="709"/>
        <w:tab w:val="center" w:pos="4819" w:leader="none"/>
        <w:tab w:val="right" w:pos="9638" w:leader="none"/>
      </w:tabs>
    </w:pPr>
    <w:rPr>
      <w:lang w:val="pt-BR" w:eastAsia="pt-BR"/>
    </w:rPr>
  </w:style>
  <w:style w:type="paragraph" w:styleId="Footer">
    <w:name w:val="footer"/>
    <w:basedOn w:val="Normal"/>
    <w:pPr>
      <w:suppressLineNumbers/>
      <w:tabs>
        <w:tab w:val="clear" w:pos="709"/>
        <w:tab w:val="center" w:pos="4680" w:leader="none"/>
        <w:tab w:val="right" w:pos="9360" w:leader="none"/>
      </w:tabs>
    </w:pPr>
    <w:rPr>
      <w:lang w:val="pt-BR" w:eastAsia="pt-BR"/>
    </w:rPr>
  </w:style>
  <w:style w:type="paragraph" w:styleId="DefinitionTermTight">
    <w:name w:val="Definition Term Tight"/>
    <w:basedOn w:val="Normal"/>
    <w:next w:val="DefinitionDefinitionTight"/>
    <w:qFormat/>
    <w:pPr>
      <w:spacing w:before="115" w:after="115"/>
    </w:pPr>
    <w:rPr>
      <w:lang w:val="pt-BR" w:eastAsia="pt-BR"/>
    </w:rPr>
  </w:style>
  <w:style w:type="paragraph" w:styleId="DefinitionDefinitionTight">
    <w:name w:val="Definition Definition Tight"/>
    <w:basedOn w:val="Normal"/>
    <w:qFormat/>
    <w:pPr>
      <w:spacing w:before="0" w:after="0"/>
      <w:ind w:hanging="0" w:start="720" w:end="0"/>
    </w:pPr>
    <w:rPr>
      <w:lang w:val="pt-BR" w:eastAsia="pt-BR"/>
    </w:rPr>
  </w:style>
  <w:style w:type="paragraph" w:styleId="HorizontalLine">
    <w:name w:val="Horizontal Line"/>
    <w:basedOn w:val="Normal"/>
    <w:next w:val="BodyText"/>
    <w:qFormat/>
    <w:pPr>
      <w:suppressLineNumbers/>
      <w:pBdr>
        <w:bottom w:val="double" w:sz="2" w:space="0" w:color="808080"/>
      </w:pBdr>
      <w:spacing w:before="0" w:after="283"/>
    </w:pPr>
    <w:rPr>
      <w:sz w:val="12"/>
      <w:szCs w:val="12"/>
      <w:lang w:val="pt-BR" w:eastAsia="pt-BR"/>
    </w:rPr>
  </w:style>
  <w:style w:type="paragraph" w:styleId="Firstparagraph">
    <w:name w:val="First paragraph"/>
    <w:basedOn w:val="BodyText"/>
    <w:next w:val="BodyText"/>
    <w:qFormat/>
    <w:pPr/>
    <w:rPr>
      <w:lang w:val="pt-BR" w:eastAsia="pt-BR"/>
    </w:rPr>
  </w:style>
  <w:style w:type="paragraph" w:styleId="Title">
    <w:name w:val="Title"/>
    <w:basedOn w:val="Heading"/>
    <w:next w:val="BodyText"/>
    <w:qFormat/>
    <w:pPr>
      <w:jc w:val="center"/>
    </w:pPr>
    <w:rPr>
      <w:b/>
      <w:bCs/>
      <w:sz w:val="56"/>
      <w:szCs w:val="56"/>
      <w:lang w:val="pt-BR" w:eastAsia="pt-BR"/>
    </w:rPr>
  </w:style>
  <w:style w:type="paragraph" w:styleId="Subtitle">
    <w:name w:val="Subtitle"/>
    <w:basedOn w:val="Heading"/>
    <w:next w:val="BodyText"/>
    <w:qFormat/>
    <w:pPr>
      <w:spacing w:before="60" w:after="120"/>
      <w:jc w:val="center"/>
    </w:pPr>
    <w:rPr>
      <w:sz w:val="36"/>
      <w:szCs w:val="36"/>
      <w:lang w:val="pt-BR" w:eastAsia="pt-BR"/>
    </w:rPr>
  </w:style>
  <w:style w:type="numbering" w:styleId="Numbering1">
    <w:name w:val="Numbering 1"/>
    <w:qFormat/>
    <w:rPr>
      <w:lang w:val="pt-BR" w:eastAsia="pt-BR"/>
    </w:rPr>
  </w:style>
  <w:style w:type="numbering" w:styleId="Numbering2">
    <w:name w:val="Numbering 2"/>
    <w:qFormat/>
    <w:rPr>
      <w:lang w:val="pt-BR" w:eastAsia="pt-BR"/>
    </w:rPr>
  </w:style>
  <w:style w:type="numbering" w:styleId="Numbering3">
    <w:name w:val="Numbering 3"/>
    <w:qFormat/>
    <w:rPr>
      <w:lang w:val="pt-BR" w:eastAsia="pt-BR"/>
    </w:rPr>
  </w:style>
  <w:style w:type="numbering" w:styleId="Numbering4">
    <w:name w:val="Numbering 4"/>
    <w:qFormat/>
    <w:rPr>
      <w:lang w:val="pt-BR" w:eastAsia="pt-BR"/>
    </w:rPr>
  </w:style>
  <w:style w:type="numbering" w:styleId="Numbering5">
    <w:name w:val="Numbering 5"/>
    <w:qFormat/>
    <w:rPr>
      <w:lang w:val="pt-BR" w:eastAsia="pt-BR"/>
    </w:rPr>
  </w:style>
  <w:style w:type="numbering" w:styleId="Bullet">
    <w:name w:val="Bullet •"/>
    <w:qFormat/>
    <w:rPr>
      <w:lang w:val="pt-BR" w:eastAsia="pt-BR"/>
    </w:rPr>
  </w:style>
  <w:style w:type="numbering" w:styleId="Bullet1">
    <w:name w:val="Bullet –"/>
    <w:qFormat/>
    <w:rPr>
      <w:lang w:val="pt-BR" w:eastAsia="pt-BR"/>
    </w:rPr>
  </w:style>
  <w:style w:type="numbering" w:styleId="Bullet2">
    <w:name w:val="Bullet ☑"/>
    <w:qFormat/>
    <w:rPr>
      <w:lang w:val="pt-BR" w:eastAsia="pt-BR"/>
    </w:rPr>
  </w:style>
  <w:style w:type="numbering" w:styleId="Bullet3">
    <w:name w:val="Bullet ➢"/>
    <w:qFormat/>
    <w:rPr>
      <w:lang w:val="pt-BR" w:eastAsia="pt-BR"/>
    </w:rPr>
  </w:style>
  <w:style w:type="numbering" w:styleId="Bullet4">
    <w:name w:val="Bullet ✗"/>
    <w:qFormat/>
    <w:rPr>
      <w:lang w:val="pt-BR" w:eastAsia="pt-B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image" Target="media/image11.png"/><Relationship Id="rId13" Type="http://schemas.openxmlformats.org/officeDocument/2006/relationships/image" Target="media/image12.svg"/><Relationship Id="rId14" Type="http://schemas.openxmlformats.org/officeDocument/2006/relationships/image" Target="media/image13.png"/><Relationship Id="rId15" Type="http://schemas.openxmlformats.org/officeDocument/2006/relationships/image" Target="media/image14.svg"/><Relationship Id="rId16" Type="http://schemas.openxmlformats.org/officeDocument/2006/relationships/image" Target="media/image15.png"/><Relationship Id="rId17" Type="http://schemas.openxmlformats.org/officeDocument/2006/relationships/image" Target="media/image16.svg"/><Relationship Id="rId18" Type="http://schemas.openxmlformats.org/officeDocument/2006/relationships/image" Target="media/image17.png"/><Relationship Id="rId19" Type="http://schemas.openxmlformats.org/officeDocument/2006/relationships/image" Target="media/image18.svg"/><Relationship Id="rId20" Type="http://schemas.openxmlformats.org/officeDocument/2006/relationships/hyperlink" Target="https://mlflow.org/" TargetMode="External"/><Relationship Id="rId21" Type="http://schemas.openxmlformats.org/officeDocument/2006/relationships/hyperlink" Target="https://dvc.org/" TargetMode="External"/><Relationship Id="rId22" Type="http://schemas.openxmlformats.org/officeDocument/2006/relationships/hyperlink" Target="https://openlineage.io/" TargetMode="External"/><Relationship Id="rId23" Type="http://schemas.openxmlformats.org/officeDocument/2006/relationships/hyperlink" Target="https://open-metadata.org/" TargetMode="External"/><Relationship Id="rId24" Type="http://schemas.openxmlformats.org/officeDocument/2006/relationships/hyperlink" Target="https://greatexpectations.io/" TargetMode="External"/><Relationship Id="rId25" Type="http://schemas.openxmlformats.org/officeDocument/2006/relationships/hyperlink" Target="https://www.evidentlyai.com/" TargetMode="External"/><Relationship Id="rId26" Type="http://schemas.openxmlformats.org/officeDocument/2006/relationships/hyperlink" Target="https://github.com/deepchecks/deepchecks" TargetMode="External"/><Relationship Id="rId27" Type="http://schemas.openxmlformats.org/officeDocument/2006/relationships/hyperlink" Target="https://github.com/Giskard-AI/giskard-oss" TargetMode="External"/><Relationship Id="rId28" Type="http://schemas.openxmlformats.org/officeDocument/2006/relationships/hyperlink" Target="https://www.promptfoo.dev/" TargetMode="External"/><Relationship Id="rId29" Type="http://schemas.openxmlformats.org/officeDocument/2006/relationships/hyperlink" Target="https://github.com/NVIDIA/garak" TargetMode="External"/><Relationship Id="rId30" Type="http://schemas.openxmlformats.org/officeDocument/2006/relationships/hyperlink" Target="https://github.com/microsoft/PyRIT" TargetMode="External"/><Relationship Id="rId31" Type="http://schemas.openxmlformats.org/officeDocument/2006/relationships/hyperlink" Target="https://inspect.aisi.org.uk/" TargetMode="External"/><Relationship Id="rId32" Type="http://schemas.openxmlformats.org/officeDocument/2006/relationships/hyperlink" Target="https://presidio.dataprivacystack.org/" TargetMode="External"/><Relationship Id="rId33" Type="http://schemas.openxmlformats.org/officeDocument/2006/relationships/hyperlink" Target="https://github.com/protectai/modelscan" TargetMode="External"/><Relationship Id="rId34" Type="http://schemas.openxmlformats.org/officeDocument/2006/relationships/hyperlink" Target="https://cyclonedx.org/" TargetMode="External"/><Relationship Id="rId35" Type="http://schemas.openxmlformats.org/officeDocument/2006/relationships/hyperlink" Target="https://www.openpolicyagent.org/" TargetMode="External"/><Relationship Id="rId36" Type="http://schemas.openxmlformats.org/officeDocument/2006/relationships/hyperlink" Target="https://www.defectdojo.org/" TargetMode="External"/><Relationship Id="rId37" Type="http://schemas.openxmlformats.org/officeDocument/2006/relationships/hyperlink" Target="https://langfuse.com/" TargetMode="External"/><Relationship Id="rId38" Type="http://schemas.openxmlformats.org/officeDocument/2006/relationships/image" Target="media/image19.png"/><Relationship Id="rId39" Type="http://schemas.openxmlformats.org/officeDocument/2006/relationships/image" Target="media/image20.svg"/><Relationship Id="rId40" Type="http://schemas.openxmlformats.org/officeDocument/2006/relationships/hyperlink" Target="https://www.iso.org/standard/42001" TargetMode="External"/><Relationship Id="rId41" Type="http://schemas.openxmlformats.org/officeDocument/2006/relationships/hyperlink" Target="https://www.iso.org/home/insights-news/resources/iso-42001-explained-what-it-is.html" TargetMode="External"/><Relationship Id="rId42" Type="http://schemas.openxmlformats.org/officeDocument/2006/relationships/hyperlink" Target="https://www.iso.org/standard/42005" TargetMode="External"/><Relationship Id="rId43" Type="http://schemas.openxmlformats.org/officeDocument/2006/relationships/hyperlink" Target="https://www.iso.org/standard/42006" TargetMode="External"/><Relationship Id="rId44" Type="http://schemas.openxmlformats.org/officeDocument/2006/relationships/hyperlink" Target="https://www.iso.org/standard/19011" TargetMode="External"/><Relationship Id="rId45" Type="http://schemas.openxmlformats.org/officeDocument/2006/relationships/hyperlink" Target="https://www.iso.org/standard/77304.html" TargetMode="External"/><Relationship Id="rId46" Type="http://schemas.openxmlformats.org/officeDocument/2006/relationships/hyperlink" Target="https://www.iso.org/standard/74296.html" TargetMode="External"/><Relationship Id="rId47" Type="http://schemas.openxmlformats.org/officeDocument/2006/relationships/hyperlink" Target="https://www.iso.org/standard/74438.html" TargetMode="External"/><Relationship Id="rId48" Type="http://schemas.openxmlformats.org/officeDocument/2006/relationships/hyperlink" Target="https://www.iso.org/standard/56641.html" TargetMode="External"/><Relationship Id="rId49" Type="http://schemas.openxmlformats.org/officeDocument/2006/relationships/hyperlink" Target="https://www.iso.org/standard/27001" TargetMode="External"/><Relationship Id="rId50" Type="http://schemas.openxmlformats.org/officeDocument/2006/relationships/hyperlink" Target="https://www.iso.org/standard/88435.html" TargetMode="External"/><Relationship Id="rId51" Type="http://schemas.openxmlformats.org/officeDocument/2006/relationships/hyperlink" Target="https://www.iso.org/standard/61651.html" TargetMode="External"/><Relationship Id="rId52" Type="http://schemas.openxmlformats.org/officeDocument/2006/relationships/hyperlink" Target="https://committee.iso.org/committee/6794475/x/catalogue/" TargetMode="External"/><Relationship Id="rId53" Type="http://schemas.openxmlformats.org/officeDocument/2006/relationships/hyperlink" Target="https://www.iso.org/management-system-standards.html" TargetMode="External"/><Relationship Id="rId54" Type="http://schemas.openxmlformats.org/officeDocument/2006/relationships/hyperlink" Target="https://www.iafcertsearch.org/" TargetMode="External"/><Relationship Id="rId55" Type="http://schemas.openxmlformats.org/officeDocument/2006/relationships/hyperlink" Target="https://www.nist.gov/itl/ai-risk-management-framework" TargetMode="External"/><Relationship Id="rId56" Type="http://schemas.openxmlformats.org/officeDocument/2006/relationships/hyperlink" Target="https://oecd.ai/en/ai-principles" TargetMode="External"/><Relationship Id="rId57" Type="http://schemas.openxmlformats.org/officeDocument/2006/relationships/hyperlink" Target="https://digital-strategy.ec.europa.eu/en/policies/regulatory-framework-ai" TargetMode="External"/><Relationship Id="rId58" Type="http://schemas.openxmlformats.org/officeDocument/2006/relationships/footer" Target="footer1.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2026-08-25T02:01:41Z</dcterms:created>
  <dc:creator>Alberto (Al) Leiva</dc:creator>
  <dc:description>Document generation and repository QA do not establish certification, conformity, legal compliance, or audit assurance.</dc:description>
  <cp:keywords>ISO/IEC 42001, AI management system, AIMS, GRC, implementation, audit evidence</cp:keywords>
  <dc:language>pt-BR</dc:language>
  <cp:lastModifiedBy>Alberto (Al) Leiva</cp:lastModifiedBy>
  <dcterms:modified xsi:type="dcterms:W3CDTF">2026-08-25T02:01:41Z</dcterms:modified>
  <cp:revision>0</cp:revision>
  <dc:subject>Manual 02 controlled publication-QA artifact; DRAFT — HUMAN SEMANTIC REVIEW REQUIRED; source build/iso-iec-42001-manual-02-2026@b1ddffa6a33376ec72db570d8437f996cf61b97d</dc:subject>
  <dc:title>Manual 02 — Implementação do Sistema de Gestão de IA ISO/IEC 42001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2026-08-24</vt:lpwstr>
  </property>
  <property fmtid="{D5CDD505-2E9C-101B-9397-08002B2CF9AE}" pid="3" name="review-status">
    <vt:lpwstr>DRAFT — HUMAN SEMANTIC REVIEW REQUIRED</vt:lpwstr>
  </property>
  <property fmtid="{D5CDD505-2E9C-101B-9397-08002B2CF9AE}" pid="4" name="source-branch">
    <vt:lpwstr>build/iso-iec-42001-manual-02-2026</vt:lpwstr>
  </property>
  <property fmtid="{D5CDD505-2E9C-101B-9397-08002B2CF9AE}" pid="5" name="source-commit">
    <vt:lpwstr>b1ddffa6a33376ec72db570d8437f996cf61b97d</vt:lpwstr>
  </property>
  <property fmtid="{D5CDD505-2E9C-101B-9397-08002B2CF9AE}" pid="6" name="subtitle">
    <vt:lpwstr>DRAFT — HUMAN SEMANTIC REVIEW REQUIRED</vt:lpwstr>
  </property>
  <property fmtid="{D5CDD505-2E9C-101B-9397-08002B2CF9AE}" pid="7" name="version">
    <vt:lpwstr>First Edition / v1.0</vt:lpwstr>
  </property>
</Properties>
</file>