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Arial"/>
          <w:b/>
          <w:sz w:val="44"/>
          <w:lang w:val="pt-BR"/>
        </w:rPr>
        <w:t>Manual 11 - Implementação Controlada do RGPD para Privacidade e Proteção de Dados</w:t>
      </w:r>
    </w:p>
    <w:p>
      <w:pPr>
        <w:jc w:val="center"/>
      </w:pPr>
      <w:r>
        <w:rPr>
          <w:rFonts w:ascii="Arial" w:hAnsi="Arial" w:eastAsia="Arial"/>
          <w:b/>
          <w:sz w:val="20"/>
          <w:lang w:val="pt-BR"/>
        </w:rPr>
        <w:t>CANDIDATO CONTROLADO PARA QA DE PUBLICACAO</w:t>
      </w:r>
    </w:p>
    <w:p>
      <w:pPr>
        <w:jc w:val="center"/>
      </w:pPr>
      <w:r>
        <w:rPr>
          <w:rFonts w:ascii="Arial" w:hAnsi="Arial" w:eastAsia="Arial"/>
          <w:sz w:val="17"/>
          <w:lang w:val="pt-BR"/>
        </w:rPr>
        <w:t>Revisão da fonte controlada: 30410f7ba0ed3aa51b4d2ffd581fa51b05f90a28 | Idioma: pt-BR | limites jurídicos/de privacidade e de decisão humana do RGPD mantidos.</w:t>
      </w:r>
    </w:p>
    <w:p>
      <w:r>
        <w:rPr>
          <w:rFonts w:ascii="Arial" w:hAnsi="Arial" w:eastAsia="Arial"/>
          <w:b/>
          <w:sz w:val="18"/>
          <w:lang w:val="pt-BR"/>
        </w:rPr>
        <w:t>Limite jurídico e de asseguração: Este manual operacionaliza práticas de privacidade e proteção de dados do RGPD, mas não fornece aconselhamento jurídico específico para uma organização, não determina aplicabilidade ou papéis, não estabelece suficiência de base legal, não decide adequação de AIPD/DPIA ou notificação de violações, não valida transferências internacionais nem garante conformidade com o RGPD. Decisões jurídicas/de privacidade materiais exigem julgamento humano competente.</w:t>
      </w:r>
    </w:p>
    <w:p>
      <w:pPr>
        <w:pStyle w:val="Heading1"/>
        <w:keepLines/>
        <w:keepNext/>
      </w:pPr>
      <w:r>
        <w:rPr>
          <w:rFonts w:ascii="Arial" w:hAnsi="Arial" w:eastAsia="Arial"/>
          <w:lang w:val="pt-BR"/>
        </w:rPr>
        <w:t>Caminhos de implementação</w:t>
      </w:r>
    </w:p>
    <w:p>
      <w:pPr>
        <w:pStyle w:val="Heading1"/>
        <w:keepLines/>
        <w:keepNext/>
      </w:pPr>
      <w:r>
        <w:rPr>
          <w:rFonts w:ascii="Arial" w:hAnsi="Arial" w:eastAsia="Arial"/>
          <w:b/>
          <w:sz w:val="36"/>
          <w:lang w:val="pt-BR"/>
        </w:rPr>
        <w:t>Manual 11 — Caminhos de implementação do RGPD</w:t>
      </w:r>
    </w:p>
    <w:p>
      <w:pPr>
        <w:ind w:left="360"/>
        <w:keepLines/>
      </w:pPr>
      <w:r>
        <w:rPr>
          <w:rFonts w:ascii="Arial" w:hAnsi="Arial" w:eastAsia="Arial"/>
          <w:lang w:val="pt-BR"/>
        </w:rPr>
        <w:t>Rascunho controlado assistido por máquina (pt-BR). A edição em inglês continua sendo a fonte controlada. Esta localização não constitui aprovação jurídica, semântica ou terminológica humana e permanece sujeita a revisão competente antes da publicação.</w:t>
      </w:r>
    </w:p>
    <w:p>
      <w:pPr>
        <w:keepLines/>
      </w:pPr>
      <w:r>
        <w:rPr>
          <w:rFonts w:ascii="Arial" w:hAnsi="Arial" w:eastAsia="Arial"/>
          <w:lang w:val="pt-BR"/>
        </w:rPr>
        <w:t>Estes caminhos dimensionam a profundidade da implementação sem alterar as obrigações jurídicas subjacentes. A aplicabilidade e a interpretação jurídica permanecem específicas de cada organização e exigem julgamento humano competente.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Caminho A — Essencial</w:t>
      </w:r>
    </w:p>
    <w:p>
      <w:pPr>
        <w:keepLines/>
      </w:pPr>
      <w:r>
        <w:rPr>
          <w:rFonts w:ascii="Arial" w:hAnsi="Arial" w:eastAsia="Arial"/>
          <w:lang w:val="pt-BR"/>
        </w:rPr>
        <w:t>Projetado para organizações menores ou menos complexas que tratam dados pessoais em um ambiente comparativamente delimitado.</w:t>
      </w:r>
    </w:p>
    <w:p>
      <w:pPr>
        <w:keepLines/>
      </w:pPr>
      <w:r>
        <w:rPr>
          <w:rFonts w:ascii="Arial" w:hAnsi="Arial" w:eastAsia="Arial"/>
          <w:lang w:val="pt-BR"/>
        </w:rPr>
        <w:t>Pacote operacional mínimo: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inventário de atividades de tratamento e responsáveis definidos;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análise de aplicabilidade e papéis;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decisões documentadas sobre base legal;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avisos de privacidade e fluxo de solicitações de direitos;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registro de operadores e controles contratuais essenciais;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regras de retenção e eliminação;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linha de base de segurança do tratamento;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fluxo de avaliação e escalonamento de violações;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critérios de triagem e escalonamento de AIPD/DPIA;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inventário e revisão de transferências internacionais;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registro de evidências e revisão periódica de gestão.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Caminho B — Estruturado</w:t>
      </w:r>
    </w:p>
    <w:p>
      <w:pPr>
        <w:keepLines/>
      </w:pPr>
      <w:r>
        <w:rPr>
          <w:rFonts w:ascii="Arial" w:hAnsi="Arial" w:eastAsia="Arial"/>
          <w:lang w:val="pt-BR"/>
        </w:rPr>
        <w:t>Projetado para organizações com múltiplos sistemas, unidades de negócio, fornecedores, jurisdições, tipos de dados ou maior complexidade de tratamento.</w:t>
      </w:r>
    </w:p>
    <w:p>
      <w:pPr>
        <w:keepLines/>
      </w:pPr>
      <w:r>
        <w:rPr>
          <w:rFonts w:ascii="Arial" w:hAnsi="Arial" w:eastAsia="Arial"/>
          <w:lang w:val="pt-BR"/>
        </w:rPr>
        <w:t>Adicione: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comitê formal de governança de privacidade ou equivalente;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registros estruturados das atividades de tratamento (ROPA);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mapas de fluxo de dados e relações sistema-finalidade;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registros de decisões sobre base legal e interesse legítimo;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controles para categorias especiais de dados e dados de crianças quando aplicável;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pontos de controle de privacidade desde a concepção no ciclo de vida de produtos/projetos;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metodologia de AIPD/DPIA, instância de revisão e acompanhamento de remediação;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métricas e revisão de qualidade das solicitações de direitos;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due diligence e monitoramento de operadores/suboperadores;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governança do mecanismo de transferência e do risco de transferência;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exercícios de mesa sobre violações e registros de decisões;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testes de controles de privacidade e prontidão para auditoria interna;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treinamento por função e risco.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Caminho C — Aprimorado</w:t>
      </w:r>
    </w:p>
    <w:p>
      <w:pPr>
        <w:keepLines/>
      </w:pPr>
      <w:r>
        <w:rPr>
          <w:rFonts w:ascii="Arial" w:hAnsi="Arial" w:eastAsia="Arial"/>
          <w:lang w:val="pt-BR"/>
        </w:rPr>
        <w:t>Projetado para ambientes grandes, complexos, altamente regulados, multinacionais, intensivos em dados, habilitados por IA ou de alto risco.</w:t>
      </w:r>
    </w:p>
    <w:p>
      <w:pPr>
        <w:keepLines/>
      </w:pPr>
      <w:r>
        <w:rPr>
          <w:rFonts w:ascii="Arial" w:hAnsi="Arial" w:eastAsia="Arial"/>
          <w:lang w:val="pt-BR"/>
        </w:rPr>
        <w:t>Adicione: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arquitetura corporativa de privacidade e framework de controles;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governança integrada de privacidade, segurança, dados e IA;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suporte automatizado a ROPA e descoberta de dados com validação humana;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linhagem e proveniência avançadas de dados;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modelo formal de risco de privacidade e aceitação de risco residual;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governança do portfólio de tratamentos de alto risco;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revisão independente de AIPD/DPIA para tratamentos materiais;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governança de decisões algorítmicas/automatizadas;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revisão especializada de IA, web scraping, anonimização e pseudonimização;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monitoramento contínuo de operadores e transferências;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playbooks de resposta regulatória;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automação de evidências com controles de proveniência;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métricas de privacidade vinculadas a resultados, e não apenas a contagens de atividade;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asseguração independente e relatórios executivos;</w:t>
      </w:r>
    </w:p>
    <w:p>
      <w:pPr>
        <w:pStyle w:val="ListBullet"/>
        <w:keepLines/>
      </w:pPr>
      <w:r>
        <w:rPr>
          <w:rFonts w:ascii="Arial" w:hAnsi="Arial" w:eastAsia="Arial"/>
          <w:lang w:val="pt-BR"/>
        </w:rPr>
        <w:t>crosswalks com ISO/IEC 27701, NIST Privacy Framework, ISO/IEC 27001, regulamentações setoriais e políticas organizacionais quando útil.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Ciclo operacional de sete pontos de controle</w:t>
      </w:r>
    </w:p>
    <w:p>
      <w:pPr>
        <w:jc w:val="center"/>
        <w:keepLines/>
        <w:keepNext/>
      </w:pPr>
      <w:r>
        <w:rPr>
          <w:rFonts w:ascii="Arial" w:hAnsi="Arial" w:eastAsia="Arial"/>
          <w:lang w:val="pt-BR"/>
        </w:rPr>
        <w:drawing>
          <wp:inline xmlns:a="http://schemas.openxmlformats.org/drawingml/2006/main" xmlns:pic="http://schemas.openxmlformats.org/drawingml/2006/picture">
            <wp:extent cx="5669280" cy="6519672"/>
            <wp:docPr id="1" name="Picture 1" title="Manual 11 memory graphic 1" descr="Memory graphic: Gráfico de memória do Manual 11 1. Diagram contains 7 labeled nodes and 5 directed relationship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_BR_graphic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19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keepLines/>
        <w:keepNext/>
      </w:pPr>
      <w:r>
        <w:rPr>
          <w:rFonts w:ascii="Arial" w:hAnsi="Arial" w:eastAsia="Arial"/>
          <w:lang w:val="pt-BR"/>
        </w:rPr>
        <w:t>Figura 1. Gráfico de memória de implementação RGPD</w:t>
      </w:r>
    </w:p>
    <w:p>
      <w:pPr>
        <w:keepLines/>
      </w:pPr>
      <w:r>
        <w:rPr>
          <w:rFonts w:ascii="Arial" w:hAnsi="Arial" w:eastAsia="Arial"/>
          <w:lang w:val="pt-BR"/>
        </w:rPr>
        <w:t>Explicação acessível: A implementação do RGPD avança da análise de aplicabilidade e papéis para finalidade, base legal e transparência; risco de privacidade e design; controles operacionais; tratamento de direitos, violações e transferências; e finalmente asseguração e melhoria. Um defeito material em um ponto de controle anterior deve ser corrigido antes de se confiar em evidências de etapas posteriores.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Ciclo de responsabilidade e evidência</w:t>
      </w:r>
    </w:p>
    <w:p>
      <w:pPr>
        <w:jc w:val="center"/>
        <w:keepLines/>
        <w:keepNext/>
      </w:pPr>
      <w:r>
        <w:rPr>
          <w:rFonts w:ascii="Arial" w:hAnsi="Arial" w:eastAsia="Arial"/>
          <w:lang w:val="pt-BR"/>
        </w:rPr>
        <w:drawing>
          <wp:inline xmlns:a="http://schemas.openxmlformats.org/drawingml/2006/main" xmlns:pic="http://schemas.openxmlformats.org/drawingml/2006/picture">
            <wp:extent cx="5669280" cy="6519672"/>
            <wp:docPr id="2" name="Picture 2" title="Manual 11 memory graphic 2" descr="Memory graphic: Gráfico de memória do Manual 11 2. Diagram contains 7 labeled nodes and 6 directed relationship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_BR_graphic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19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keepLines/>
        <w:keepNext/>
      </w:pPr>
      <w:r>
        <w:rPr>
          <w:rFonts w:ascii="Arial" w:hAnsi="Arial" w:eastAsia="Arial"/>
          <w:lang w:val="pt-BR"/>
        </w:rPr>
        <w:t>Figura 2. Gráfico de memória de implementação RGPD</w:t>
      </w:r>
    </w:p>
    <w:p>
      <w:pPr>
        <w:keepLines/>
      </w:pPr>
      <w:r>
        <w:rPr>
          <w:rFonts w:ascii="Arial" w:hAnsi="Arial" w:eastAsia="Arial"/>
          <w:lang w:val="pt-BR"/>
        </w:rPr>
        <w:t>Explicação acessível: Cada atividade de tratamento precisa de responsabilidade definida, decisões documentadas, controles implementados, evidência operacional, revisão/testes e ação de gestão. O ciclo se repete quando mudam o tratamento, a lei, a tecnologia, o risco ou a orientação oficial.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Roteamento de solicitações de direitos</w:t>
      </w:r>
    </w:p>
    <w:p>
      <w:pPr>
        <w:jc w:val="center"/>
        <w:keepLines/>
        <w:keepNext/>
      </w:pPr>
      <w:r>
        <w:rPr>
          <w:rFonts w:ascii="Arial" w:hAnsi="Arial" w:eastAsia="Arial"/>
          <w:lang w:val="pt-BR"/>
        </w:rPr>
        <w:drawing>
          <wp:inline xmlns:a="http://schemas.openxmlformats.org/drawingml/2006/main" xmlns:pic="http://schemas.openxmlformats.org/drawingml/2006/picture">
            <wp:extent cx="5669280" cy="6519672"/>
            <wp:docPr id="3" name="Picture 3" title="Manual 11 memory graphic 3" descr="Memory graphic: Gráfico de memória do Manual 11 3. Diagram contains 7 labeled nodes and 5 directed relationship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_BR_graphic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19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keepLines/>
        <w:keepNext/>
      </w:pPr>
      <w:r>
        <w:rPr>
          <w:rFonts w:ascii="Arial" w:hAnsi="Arial" w:eastAsia="Arial"/>
          <w:lang w:val="pt-BR"/>
        </w:rPr>
        <w:t>Figura 3. Gráfico de memória de implementação RGPD</w:t>
      </w:r>
    </w:p>
    <w:p>
      <w:pPr>
        <w:keepLines/>
      </w:pPr>
      <w:r>
        <w:rPr>
          <w:rFonts w:ascii="Arial" w:hAnsi="Arial" w:eastAsia="Arial"/>
          <w:lang w:val="pt-BR"/>
        </w:rPr>
        <w:t>Explicação acessível: Uma solicitação de direitos deve ser validada, classificada e delimitada entre sistemas e operadores; revisada quanto a limitações ou exceções aplicáveis; aprovada por pessoal responsável; e encerrada com evidência de prazos, busca, decisão e resposta.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Limite de liberação fail-closed</w:t>
      </w:r>
    </w:p>
    <w:p>
      <w:pPr>
        <w:keepLines/>
      </w:pPr>
      <w:r>
        <w:rPr>
          <w:rFonts w:ascii="Arial" w:hAnsi="Arial" w:eastAsia="Arial"/>
          <w:lang w:val="pt-BR"/>
        </w:rPr>
        <w:t>Verificações automatizadas podem confirmar a existência de campos obrigatórios, etapas de fluxo, rótulos de estado de fontes, arquivos e relações de evidência. Elas não podem determinar suficiência jurídica nem tomar automaticamente decisões específicas de uma organização sob o RGPD. A revisão humana competente de privacidade/jurídica permanece obrigatória. A autorização final de liberação do proprietário aplica-se conforme o procedimento de autorização permanente do repositório quando todos os pontos de controle substantivos anteriores estiverem verdes.</w:t>
      </w:r>
    </w:p>
    <w:p>
      <w:pPr>
        <w:sectPr>
          <w:footerReference w:type="default" r:id="rId9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1"/>
        <w:keepLines/>
        <w:keepNext/>
      </w:pPr>
      <w:r>
        <w:rPr>
          <w:rFonts w:ascii="Arial" w:hAnsi="Arial" w:eastAsia="Arial"/>
          <w:lang w:val="pt-BR"/>
        </w:rPr>
        <w:t>Manual controlado de 32 capítulos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01 — Finalidade, escopo e responsabilidade no RGPD</w:t>
      </w:r>
    </w:p>
    <w:p>
      <w:pPr>
        <w:keepLines/>
      </w:pPr>
      <w:r>
        <w:rPr>
          <w:rFonts w:ascii="Arial" w:hAnsi="Arial" w:eastAsia="Arial"/>
          <w:lang w:val="pt-BR"/>
        </w:rPr>
        <w:t>Comece identificando por que dados pessoais são tratados, de quem são os dados, quais entidades participam, onde o tratamento ocorre e quais relações jurídicas e operacionais são relevantes. A implementação do RGPD deve conectar obrigações jurídicas a responsáveis definidos, sistemas, fluxos de dados, contratos, controles, evidências e revisão.</w:t>
      </w:r>
    </w:p>
    <w:p>
      <w:pPr>
        <w:keepLines/>
      </w:pPr>
      <w:r>
        <w:rPr>
          <w:rFonts w:ascii="Arial" w:hAnsi="Arial" w:eastAsia="Arial"/>
          <w:lang w:val="pt-BR"/>
        </w:rPr>
        <w:t>As conclusões de aplicabilidade devem ser documentadas com escopo, premissas, fatos jurisdicionais, revisores responsáveis e questões não resolvidas.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02 — Âmbito material e territorial</w:t>
      </w:r>
    </w:p>
    <w:p>
      <w:pPr>
        <w:keepLines/>
      </w:pPr>
      <w:r>
        <w:rPr>
          <w:rFonts w:ascii="Arial" w:hAnsi="Arial" w:eastAsia="Arial"/>
          <w:lang w:val="pt-BR"/>
        </w:rPr>
        <w:t>Avalie se as atividades envolvem dados pessoais e se as regras territoriais do RGPD se aplicam, incluindo tratamento baseado em estabelecimento e cenários relevantes de oferta ou monitoramento envolvendo pessoas na União.</w:t>
      </w:r>
    </w:p>
    <w:p>
      <w:pPr>
        <w:keepLines/>
      </w:pPr>
      <w:r>
        <w:rPr>
          <w:rFonts w:ascii="Arial" w:hAnsi="Arial" w:eastAsia="Arial"/>
          <w:lang w:val="pt-BR"/>
        </w:rPr>
        <w:t>Não dependa apenas da localização da sede. Registre entidades, estabelecimentos, mercados, titulares, locais de tratamento, serviços, comportamento de monitoramento e requisitos de representante quando aplicável.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03 — Dados pessoais e identificabilidade</w:t>
      </w:r>
    </w:p>
    <w:p>
      <w:pPr>
        <w:keepLines/>
      </w:pPr>
      <w:r>
        <w:rPr>
          <w:rFonts w:ascii="Arial" w:hAnsi="Arial" w:eastAsia="Arial"/>
          <w:lang w:val="pt-BR"/>
        </w:rPr>
        <w:t>Identifique identificadores diretos e indiretos, identificadores on-line, dados de dispositivos e localização, dados de contas, informações comportamentais, atributos inferidos, registros pseudonimizados e combinações de dados que possam estar relacionadas a uma pessoa natural identificável.</w:t>
      </w:r>
    </w:p>
    <w:p>
      <w:pPr>
        <w:keepLines/>
      </w:pPr>
      <w:r>
        <w:rPr>
          <w:rFonts w:ascii="Arial" w:hAnsi="Arial" w:eastAsia="Arial"/>
          <w:lang w:val="pt-BR"/>
        </w:rPr>
        <w:t>Conclusões de anonimização exigem evidência de que o risco de reidentificação foi reduzido a um nível apropriado no contexto; dados pseudonimizados em geral continuam sendo dados pessoais.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04 — Papéis de controlador, operador e controladores conjuntos</w:t>
      </w:r>
    </w:p>
    <w:p>
      <w:pPr>
        <w:keepLines/>
      </w:pPr>
      <w:r>
        <w:rPr>
          <w:rFonts w:ascii="Arial" w:hAnsi="Arial" w:eastAsia="Arial"/>
          <w:lang w:val="pt-BR"/>
        </w:rPr>
        <w:t>Determine os papéis com base nas finalidades e nos meios reais do tratamento, e não apenas em rótulos contratuais. Documente quem decide por que o tratamento ocorre, os meios essenciais, as instruções, os usos independentes, as decisões compartilhadas e as cadeias de operadores/suboperadores.</w:t>
      </w:r>
    </w:p>
    <w:p>
      <w:pPr>
        <w:keepLines/>
      </w:pPr>
      <w:r>
        <w:rPr>
          <w:rFonts w:ascii="Arial" w:hAnsi="Arial" w:eastAsia="Arial"/>
          <w:lang w:val="pt-BR"/>
        </w:rPr>
        <w:t>A análise de papéis deve ser revista quando houver mudanças em serviços, usos de dados, funcionalidades de IA, contratos ou direitos de decisão.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05 — Princípios de proteção de dados</w:t>
      </w:r>
    </w:p>
    <w:p>
      <w:pPr>
        <w:keepLines/>
      </w:pPr>
      <w:r>
        <w:rPr>
          <w:rFonts w:ascii="Arial" w:hAnsi="Arial" w:eastAsia="Arial"/>
          <w:lang w:val="pt-BR"/>
        </w:rPr>
        <w:t>Operacionalize licitude, lealdade, transparência, limitação da finalidade, minimização de dados, exatidão, limitação da conservação, integridade/confidencialidade e responsabilidade demonstrável como requisitos de design e operação.</w:t>
      </w:r>
    </w:p>
    <w:p>
      <w:pPr>
        <w:keepLines/>
      </w:pPr>
      <w:r>
        <w:rPr>
          <w:rFonts w:ascii="Arial" w:hAnsi="Arial" w:eastAsia="Arial"/>
          <w:lang w:val="pt-BR"/>
        </w:rPr>
        <w:t>Cada atividade material de tratamento deve demonstrar como os princípios afetam coleta, uso, acesso, compartilhamento, retenção, eliminação, avisos, segurança e evidência.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06 — Responsabilidade demonstrável e evidência</w:t>
      </w:r>
    </w:p>
    <w:p>
      <w:pPr>
        <w:keepLines/>
      </w:pPr>
      <w:r>
        <w:rPr>
          <w:rFonts w:ascii="Arial" w:hAnsi="Arial" w:eastAsia="Arial"/>
          <w:lang w:val="pt-BR"/>
        </w:rPr>
        <w:t>Responsabilidade demonstrável exige mais do que declarações de política. Mantenha evidências de decisões, responsáveis, avisos, registros de tratamento, contratos, AIPDs/DPIAs, atendimento de direitos, controles de segurança, treinamento, decisões sobre incidentes, mecanismos de transferência, revisões e ações corretivas.</w:t>
      </w:r>
    </w:p>
    <w:p>
      <w:pPr>
        <w:keepLines/>
      </w:pPr>
      <w:r>
        <w:rPr>
          <w:rFonts w:ascii="Arial" w:hAnsi="Arial" w:eastAsia="Arial"/>
          <w:lang w:val="pt-BR"/>
        </w:rPr>
        <w:t>A evidência deve ser atribuível, atual, delimitada ao tratamento real e retida de acordo com um modelo controlado de evidências.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07 — Governança e modelo operacional de privacidade</w:t>
      </w:r>
    </w:p>
    <w:p>
      <w:pPr>
        <w:keepLines/>
      </w:pPr>
      <w:r>
        <w:rPr>
          <w:rFonts w:ascii="Arial" w:hAnsi="Arial" w:eastAsia="Arial"/>
          <w:lang w:val="pt-BR"/>
        </w:rPr>
        <w:t>Defina direitos de decisão entre privacidade, jurídico, segurança, governança de dados, engenharia, produto, compras, RH, marketing, operações, auditoria e liderança de negócios. Estabeleça rotas de escalonamento para tratamentos de alto risco, conflitos de direitos, incidentes, transferências, problemas com fornecedores e interpretações jurídicas não resolvidas.</w:t>
      </w:r>
    </w:p>
    <w:p>
      <w:pPr>
        <w:keepLines/>
      </w:pPr>
      <w:r>
        <w:rPr>
          <w:rFonts w:ascii="Arial" w:hAnsi="Arial" w:eastAsia="Arial"/>
          <w:lang w:val="pt-BR"/>
        </w:rPr>
        <w:t>O modelo operacional deve distinguir responsabilidades de aconselhamento, aprovação, implementação, desafio independente e supervisão.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08 — Gate fail-closed de aplicabilidade e governança</w:t>
      </w:r>
    </w:p>
    <w:p>
      <w:pPr>
        <w:keepLines/>
      </w:pPr>
      <w:r>
        <w:rPr>
          <w:rFonts w:ascii="Arial" w:hAnsi="Arial" w:eastAsia="Arial"/>
          <w:lang w:val="pt-BR"/>
        </w:rPr>
        <w:t>Não prossiga como se as obrigações do RGPD estivessem completamente mapeadas quando o escopo estiver não resolvido, os papéis não estiverem claros, o tratamento material não estiver inventariado, faltarem responsáveis definidos ou questões jurídicas significativas não tiverem revisor designado.</w:t>
      </w:r>
    </w:p>
    <w:p>
      <w:pPr>
        <w:keepLines/>
      </w:pPr>
      <w:r>
        <w:rPr>
          <w:rFonts w:ascii="Arial" w:hAnsi="Arial" w:eastAsia="Arial"/>
          <w:lang w:val="pt-BR"/>
        </w:rPr>
        <w:t>A automação pode auxiliar na descoberta e classificação, mas não pode tomar determinações finais específicas da organização sobre aplicabilidade ou papéis sem revisão humana competente.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09 — Bases legais</w:t>
      </w:r>
    </w:p>
    <w:p>
      <w:pPr>
        <w:keepLines/>
      </w:pPr>
      <w:r>
        <w:rPr>
          <w:rFonts w:ascii="Arial" w:hAnsi="Arial" w:eastAsia="Arial"/>
          <w:lang w:val="pt-BR"/>
        </w:rPr>
        <w:t>Mapeie cada finalidade material de tratamento para uma base legal documentada e para os fatos que sustentam essa escolha. Registre finalidade, categorias de dados, titulares, responsável pela decisão, evidências de suporte, alternativas consideradas, dependências e gatilhos de revisão.</w:t>
      </w:r>
    </w:p>
    <w:p>
      <w:pPr>
        <w:keepLines/>
      </w:pPr>
      <w:r>
        <w:rPr>
          <w:rFonts w:ascii="Arial" w:hAnsi="Arial" w:eastAsia="Arial"/>
          <w:lang w:val="pt-BR"/>
        </w:rPr>
        <w:t>Não trate a seleção da base legal como uma opção de menu. Necessidade contratual, obrigação legal, interesses vitais, tarefa de interesse público, interesses legítimos e consentimento têm condições e limitações distintas.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10 — Consentimento e retirada</w:t>
      </w:r>
    </w:p>
    <w:p>
      <w:pPr>
        <w:keepLines/>
      </w:pPr>
      <w:r>
        <w:rPr>
          <w:rFonts w:ascii="Arial" w:hAnsi="Arial" w:eastAsia="Arial"/>
          <w:lang w:val="pt-BR"/>
        </w:rPr>
        <w:t>Quando o consentimento for utilizado, projete coleta, evidência, granularidade, transparência, voluntariedade, retirada e comportamento de sistemas posteriores de forma que o consentimento possa ser demonstrado e revogado na prática.</w:t>
      </w:r>
    </w:p>
    <w:p>
      <w:pPr>
        <w:keepLines/>
      </w:pPr>
      <w:r>
        <w:rPr>
          <w:rFonts w:ascii="Arial" w:hAnsi="Arial" w:eastAsia="Arial"/>
          <w:lang w:val="pt-BR"/>
        </w:rPr>
        <w:t>O consentimento não deve ser utilizado quando desequilíbrio, vinculação de finalidades, ambiguidade ou impossibilidade de retirada comprometerem sua validade.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11 — Interesses legítimos e balanceamento</w:t>
      </w:r>
    </w:p>
    <w:p>
      <w:pPr>
        <w:keepLines/>
      </w:pPr>
      <w:r>
        <w:rPr>
          <w:rFonts w:ascii="Arial" w:hAnsi="Arial" w:eastAsia="Arial"/>
          <w:lang w:val="pt-BR"/>
        </w:rPr>
        <w:t>Quando interesses legítimos forem considerados, documente o interesse perseguido, necessidade, impacto sobre os indivíduos, expectativas razoáveis, salvaguardas, alternativas, objeções e risco residual. Reavalie quando mudarem finalidade, tecnologia, dados, populações afetadas ou salvaguardas.</w:t>
      </w:r>
    </w:p>
    <w:p>
      <w:pPr>
        <w:keepLines/>
      </w:pPr>
      <w:r>
        <w:rPr>
          <w:rFonts w:ascii="Arial" w:hAnsi="Arial" w:eastAsia="Arial"/>
          <w:lang w:val="pt-BR"/>
        </w:rPr>
        <w:t>Modelos automatizados de balanceamento podem apoiar consistência, mas não substituem julgamento jurídico ou de privacidade.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12 — Categorias especiais e dados sobre condenações ou infrações penais</w:t>
      </w:r>
    </w:p>
    <w:p>
      <w:pPr>
        <w:keepLines/>
      </w:pPr>
      <w:r>
        <w:rPr>
          <w:rFonts w:ascii="Arial" w:hAnsi="Arial" w:eastAsia="Arial"/>
          <w:lang w:val="pt-BR"/>
        </w:rPr>
        <w:t>Identifique tratamentos envolvendo categorias especiais de dados ou dados relativos a condenações e infrações penais e documente a condição jurídica adicional aplicável, finalidade, salvaguardas, restrições de acesso, retenção, regras de compartilhamento e revisão especializada.</w:t>
      </w:r>
    </w:p>
    <w:p>
      <w:pPr>
        <w:keepLines/>
      </w:pPr>
      <w:r>
        <w:rPr>
          <w:rFonts w:ascii="Arial" w:hAnsi="Arial" w:eastAsia="Arial"/>
          <w:lang w:val="pt-BR"/>
        </w:rPr>
        <w:t>Tratamentos de alta sensibilidade devem estar visíveis no ROPA, na triagem de AIPD/DPIA, revisão de fornecedores, design de segurança e processos de resposta a incidentes.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13 — Transparência e avisos de privacidade</w:t>
      </w:r>
    </w:p>
    <w:p>
      <w:pPr>
        <w:keepLines/>
      </w:pPr>
      <w:r>
        <w:rPr>
          <w:rFonts w:ascii="Arial" w:hAnsi="Arial" w:eastAsia="Arial"/>
          <w:lang w:val="pt-BR"/>
        </w:rPr>
        <w:t>Forneça informações claras, acessíveis e exatas sobre identidade, finalidades, bases legais, destinatários, retenção, direitos, transferências, decisões automatizadas e outras informações exigidas conforme o contexto.</w:t>
      </w:r>
    </w:p>
    <w:p>
      <w:pPr>
        <w:keepLines/>
      </w:pPr>
      <w:r>
        <w:rPr>
          <w:rFonts w:ascii="Arial" w:hAnsi="Arial" w:eastAsia="Arial"/>
          <w:lang w:val="pt-BR"/>
        </w:rPr>
        <w:t>Os avisos devem refletir o tratamento real. Mudanças materiais em produto, uso de dados, fornecedores, IA ou transferências devem acionar análise de impacto sobre os avisos.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14 — Operação dos direitos dos titulares</w:t>
      </w:r>
    </w:p>
    <w:p>
      <w:pPr>
        <w:keepLines/>
      </w:pPr>
      <w:r>
        <w:rPr>
          <w:rFonts w:ascii="Arial" w:hAnsi="Arial" w:eastAsia="Arial"/>
          <w:lang w:val="pt-BR"/>
        </w:rPr>
        <w:t>Implemente entrada controlada, validação de identidade/autoridade, classificação do direito, busca, coordenação com operadores, revisão de exceções, aprovação de resposta, prazos, entrega, registro e encerramento para os direitos aplicáveis.</w:t>
      </w:r>
    </w:p>
    <w:p>
      <w:pPr>
        <w:keepLines/>
      </w:pPr>
      <w:r>
        <w:rPr>
          <w:rFonts w:ascii="Arial" w:hAnsi="Arial" w:eastAsia="Arial"/>
          <w:lang w:val="pt-BR"/>
        </w:rPr>
        <w:t>Mantenha evidência de quais sistemas e partes foram pesquisados, decisões tomadas, limitações aplicadas, prazos, comunicações e conclusão.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15 — Decisões automatizadas e perfilamento</w:t>
      </w:r>
    </w:p>
    <w:p>
      <w:pPr>
        <w:keepLines/>
      </w:pPr>
      <w:r>
        <w:rPr>
          <w:rFonts w:ascii="Arial" w:hAnsi="Arial" w:eastAsia="Arial"/>
          <w:lang w:val="pt-BR"/>
        </w:rPr>
        <w:t>Identifique processos de perfilamento e decisões automatizadas, determine se restrições jurídicas ou transparência reforçada se aplicam e documente envolvimento humano, relevância da decisão, explicações de lógica quando exigidas, possibilidade de contestação, salvaguardas, riscos de viés/qualidade e revisão.</w:t>
      </w:r>
    </w:p>
    <w:p>
      <w:pPr>
        <w:keepLines/>
      </w:pPr>
      <w:r>
        <w:rPr>
          <w:rFonts w:ascii="Arial" w:hAnsi="Arial" w:eastAsia="Arial"/>
          <w:lang w:val="pt-BR"/>
        </w:rPr>
        <w:t>Suporte à decisão habilitado por IA não deve ser rotulado como “revisado por uma pessoa” apenas porque uma pessoa poderia teoricamente intervir.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16 — Privacidade desde a concepção/por padrão e gate fail-closed de direitos</w:t>
      </w:r>
    </w:p>
    <w:p>
      <w:pPr>
        <w:keepLines/>
      </w:pPr>
      <w:r>
        <w:rPr>
          <w:rFonts w:ascii="Arial" w:hAnsi="Arial" w:eastAsia="Arial"/>
          <w:lang w:val="pt-BR"/>
        </w:rPr>
        <w:t>Integre requisitos de privacidade em requisitos, arquitetura, padrões, coleta de dados, retenção, acesso, testes, implantação, gestão de mudanças e desativação. Os padrões devem apoiar minimização e alinhamento à finalidade, em vez de maximizar coleta ou exposição.</w:t>
      </w:r>
    </w:p>
    <w:p>
      <w:pPr>
        <w:keepLines/>
      </w:pPr>
      <w:r>
        <w:rPr>
          <w:rFonts w:ascii="Arial" w:hAnsi="Arial" w:eastAsia="Arial"/>
          <w:lang w:val="pt-BR"/>
        </w:rPr>
        <w:t>Não aprove o gate quando a base legal não estiver sustentada, os avisos divergirem materialmente do tratamento real, os direitos não puderem ser executados de ponta a ponta ou decisões automatizadas de alto impacto não tiverem revisão responsável e salvaguardas.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17 — Registros de tratamento e inventário de dados</w:t>
      </w:r>
    </w:p>
    <w:p>
      <w:pPr>
        <w:keepLines/>
      </w:pPr>
      <w:r>
        <w:rPr>
          <w:rFonts w:ascii="Arial" w:hAnsi="Arial" w:eastAsia="Arial"/>
          <w:lang w:val="pt-BR"/>
        </w:rPr>
        <w:t>Mantenha registros que conectem finalidade do tratamento, categorias de dados, titulares, sistemas, destinatários, operadores, transferências, retenção, medidas de segurança, responsáveis, base legal e AIPDs/DPIAs ou avisos relacionados quando aplicável.</w:t>
      </w:r>
    </w:p>
    <w:p>
      <w:pPr>
        <w:keepLines/>
      </w:pPr>
      <w:r>
        <w:rPr>
          <w:rFonts w:ascii="Arial" w:hAnsi="Arial" w:eastAsia="Arial"/>
          <w:lang w:val="pt-BR"/>
        </w:rPr>
        <w:t>O ROPA deve funcionar como um registro vivo de governança, e não como uma planilha anual desconectada da arquitetura e das mudanças do negócio.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18 — Triagem e início de AIPD/DPIA</w:t>
      </w:r>
    </w:p>
    <w:p>
      <w:pPr>
        <w:keepLines/>
      </w:pPr>
      <w:r>
        <w:rPr>
          <w:rFonts w:ascii="Arial" w:hAnsi="Arial" w:eastAsia="Arial"/>
          <w:lang w:val="pt-BR"/>
        </w:rPr>
        <w:t>Avalie tratamentos novos e alterados quanto a fatores que possam indicar alto risco, incluindo escala, sensibilidade, monitoramento sistemático, perfilamento, decisões automatizadas, pessoas vulneráveis, tecnologia nova, combinação de dados, rastreamento e barreiras ao exercício de direitos.</w:t>
      </w:r>
    </w:p>
    <w:p>
      <w:pPr>
        <w:keepLines/>
      </w:pPr>
      <w:r>
        <w:rPr>
          <w:rFonts w:ascii="Arial" w:hAnsi="Arial" w:eastAsia="Arial"/>
          <w:lang w:val="pt-BR"/>
        </w:rPr>
        <w:t>Registre justificativa da triagem, revisor, data, evidência e escalonamento. Uma conclusão de “AIPD/DPIA não necessária” deve ser explicável e revista após mudança material.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19 — Análise e tratamento da AIPD/DPIA</w:t>
      </w:r>
    </w:p>
    <w:p>
      <w:pPr>
        <w:keepLines/>
      </w:pPr>
      <w:r>
        <w:rPr>
          <w:rFonts w:ascii="Arial" w:hAnsi="Arial" w:eastAsia="Arial"/>
          <w:lang w:val="pt-BR"/>
        </w:rPr>
        <w:t>Quando uma AIPD/DPIA for necessária, descreva o tratamento, necessidade e proporcionalidade, riscos para as pessoas, fontes de dano, probabilidade/plausibilidade, salvaguardas, risco residual, responsáveis e aprovação. Integre evidências de segurança, privacidade, jurídico, produto, engenharia e negócio.</w:t>
      </w:r>
    </w:p>
    <w:p>
      <w:pPr>
        <w:keepLines/>
      </w:pPr>
      <w:r>
        <w:rPr>
          <w:rFonts w:ascii="Arial" w:hAnsi="Arial" w:eastAsia="Arial"/>
          <w:lang w:val="pt-BR"/>
        </w:rPr>
        <w:t>Modelos de AIPD/DPIA podem apoiar consistência, mas não estabelecem adequação automaticamente.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20 — Segurança do tratamento</w:t>
      </w:r>
    </w:p>
    <w:p>
      <w:pPr>
        <w:keepLines/>
      </w:pPr>
      <w:r>
        <w:rPr>
          <w:rFonts w:ascii="Arial" w:hAnsi="Arial" w:eastAsia="Arial"/>
          <w:lang w:val="pt-BR"/>
        </w:rPr>
        <w:t>Implemente medidas de segurança apropriadas ao risco, considerando confidencialidade, integridade, disponibilidade, resiliência, recuperação, controle de acesso, criptografia ou pseudonimização quando apropriado, gestão de vulnerabilidades, monitoramento, backup, testes, segurança de fornecedores e fatores humanos.</w:t>
      </w:r>
    </w:p>
    <w:p>
      <w:pPr>
        <w:keepLines/>
      </w:pPr>
      <w:r>
        <w:rPr>
          <w:rFonts w:ascii="Arial" w:hAnsi="Arial" w:eastAsia="Arial"/>
          <w:lang w:val="pt-BR"/>
        </w:rPr>
        <w:t>Alegações de segurança devem ser sustentadas por evidências de implementação e operação, e não apenas por declarações de política.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21 — Detecção e triagem de violações de dados pessoais</w:t>
      </w:r>
    </w:p>
    <w:p>
      <w:pPr>
        <w:keepLines/>
      </w:pPr>
      <w:r>
        <w:rPr>
          <w:rFonts w:ascii="Arial" w:hAnsi="Arial" w:eastAsia="Arial"/>
          <w:lang w:val="pt-BR"/>
        </w:rPr>
        <w:t>Defina como possíveis violações de dados pessoais são identificadas, escalonadas, contidas e investigadas e como são diferenciadas de outros eventos de segurança ou privacidade. Preserve cronologias, dados afetados, populações, sistemas, causas, controles, destinatários e evidências.</w:t>
      </w:r>
    </w:p>
    <w:p>
      <w:pPr>
        <w:keepLines/>
      </w:pPr>
      <w:r>
        <w:rPr>
          <w:rFonts w:ascii="Arial" w:hAnsi="Arial" w:eastAsia="Arial"/>
          <w:lang w:val="pt-BR"/>
        </w:rPr>
        <w:t>O registro do incidente deve sustentar a avaliação de risco para as pessoas e decisões posteriores de notificação à autoridade de controle ou aos titulares.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22 — Processo de decisão sobre notificação de violações</w:t>
      </w:r>
    </w:p>
    <w:p>
      <w:pPr>
        <w:keepLines/>
      </w:pPr>
      <w:r>
        <w:rPr>
          <w:rFonts w:ascii="Arial" w:hAnsi="Arial" w:eastAsia="Arial"/>
          <w:lang w:val="pt-BR"/>
        </w:rPr>
        <w:t>Estabeleça um fluxo controlado para avaliar obrigações de notificação, prazos, conteúdo, interação com a autoridade de controle, notificação aos indivíduos, documentação de decisões de não notificar e coordenação com operadores ou outros controladores.</w:t>
      </w:r>
    </w:p>
    <w:p>
      <w:pPr>
        <w:keepLines/>
      </w:pPr>
      <w:r>
        <w:rPr>
          <w:rFonts w:ascii="Arial" w:hAnsi="Arial" w:eastAsia="Arial"/>
          <w:lang w:val="pt-BR"/>
        </w:rPr>
        <w:t>A automação pode calcular prazos ou reunir fatos, mas não deve tomar sem revisão uma determinação jurídica de que a notificação é ou não obrigatória.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23 — Governança de operadores e suboperadores</w:t>
      </w:r>
    </w:p>
    <w:p>
      <w:pPr>
        <w:keepLines/>
      </w:pPr>
      <w:r>
        <w:rPr>
          <w:rFonts w:ascii="Arial" w:hAnsi="Arial" w:eastAsia="Arial"/>
          <w:lang w:val="pt-BR"/>
        </w:rPr>
        <w:t>Selecione operadores que ofereçam garantias suficientes apropriadas ao risco e mantenha os controles contratuais e operacionais exigidos. Acompanhe instruções, confidencialidade, segurança, suboperadores, assistência com direitos, suporte a AIPD/DPIA e violações, devolução/eliminação, informações de auditoria, localizações, transferências e mudanças materiais de serviço.</w:t>
      </w:r>
    </w:p>
    <w:p>
      <w:pPr>
        <w:keepLines/>
      </w:pPr>
      <w:r>
        <w:rPr>
          <w:rFonts w:ascii="Arial" w:hAnsi="Arial" w:eastAsia="Arial"/>
          <w:lang w:val="pt-BR"/>
        </w:rPr>
        <w:t>Os contratos devem corresponder ao tratamento real e ser sustentados por evidência de implementação.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24 — Transferências internacionais e gate fail-closed</w:t>
      </w:r>
    </w:p>
    <w:p>
      <w:pPr>
        <w:keepLines/>
      </w:pPr>
      <w:r>
        <w:rPr>
          <w:rFonts w:ascii="Arial" w:hAnsi="Arial" w:eastAsia="Arial"/>
          <w:lang w:val="pt-BR"/>
        </w:rPr>
        <w:t>Inventarie transferências e cenários de acesso remoto envolvendo dados pessoais que saiam da área protegida relevante. Documente mecanismo de transferência, destinatário, país, cadeia de operadores, salvaguardas, medidas suplementares quando necessárias, fluxos de dados e gatilhos de revisão.</w:t>
      </w:r>
    </w:p>
    <w:p>
      <w:pPr>
        <w:keepLines/>
      </w:pPr>
      <w:r>
        <w:rPr>
          <w:rFonts w:ascii="Arial" w:hAnsi="Arial" w:eastAsia="Arial"/>
          <w:lang w:val="pt-BR"/>
        </w:rPr>
        <w:t>Não aprove o gate quando decisões de AIPD/DPIA não tiverem suporte, fluxos de violações não puderem cumprir os prazos de decisão exigidos, operadores estiverem materialmente sem governança ou transferências internacionais não tiverem mecanismo jurídico documentado e revisão competente.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25 — Retenção, eliminação, minimização e qualidade de dados</w:t>
      </w:r>
    </w:p>
    <w:p>
      <w:pPr>
        <w:keepLines/>
      </w:pPr>
      <w:r>
        <w:rPr>
          <w:rFonts w:ascii="Arial" w:hAnsi="Arial" w:eastAsia="Arial"/>
          <w:lang w:val="pt-BR"/>
        </w:rPr>
        <w:t>Defina regras de retenção e eliminação por finalidade, necessidade jurídica, requisito de negócio, categoria de dados, sistema, operador e requisito de evidência. Implemente eliminação defensável, arquivamento, exceções de retenção legal e verificação quando apropriado.</w:t>
      </w:r>
    </w:p>
    <w:p>
      <w:pPr>
        <w:keepLines/>
      </w:pPr>
      <w:r>
        <w:rPr>
          <w:rFonts w:ascii="Arial" w:hAnsi="Arial" w:eastAsia="Arial"/>
          <w:lang w:val="pt-BR"/>
        </w:rPr>
        <w:t>A minimização e a exatidão dos dados devem ser monitoradas ao longo de todo o ciclo de vida, incluindo dados derivados, duplicados, em cache, analíticos, de backup e relacionados a IA quando relevante.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26 — Governança e independência do DPO</w:t>
      </w:r>
    </w:p>
    <w:p>
      <w:pPr>
        <w:keepLines/>
      </w:pPr>
      <w:r>
        <w:rPr>
          <w:rFonts w:ascii="Arial" w:hAnsi="Arial" w:eastAsia="Arial"/>
          <w:lang w:val="pt-BR"/>
        </w:rPr>
        <w:t>Quando um Encarregado de Proteção de Dados (DPO) for exigido ou designado voluntariamente, defina linhas de reporte, acesso à alta administração, independência, recursos, experiência, envolvimento em assuntos de alto risco, controles de conflito e evidências de aconselhamento e escalonamento.</w:t>
      </w:r>
    </w:p>
    <w:p>
      <w:pPr>
        <w:keepLines/>
      </w:pPr>
      <w:r>
        <w:rPr>
          <w:rFonts w:ascii="Arial" w:hAnsi="Arial" w:eastAsia="Arial"/>
          <w:lang w:val="pt-BR"/>
        </w:rPr>
        <w:t>Não trate a nomeação de um DPO como transferência da responsabilidade para fora dos controladores ou operadores.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27 — Treinamento, conscientização e competência por função</w:t>
      </w:r>
    </w:p>
    <w:p>
      <w:pPr>
        <w:keepLines/>
      </w:pPr>
      <w:r>
        <w:rPr>
          <w:rFonts w:ascii="Arial" w:hAnsi="Arial" w:eastAsia="Arial"/>
          <w:lang w:val="pt-BR"/>
        </w:rPr>
        <w:t>Forneça treinamento de privacidade proporcional à função, acesso a dados, autoridade de decisão e risco. Produto, engenharia, marketing, RH, compras, segurança, resposta a incidentes, suporte ao cliente, jurídico/privacidade e funções executivas exigem competências práticas diferentes.</w:t>
      </w:r>
    </w:p>
    <w:p>
      <w:pPr>
        <w:keepLines/>
      </w:pPr>
      <w:r>
        <w:rPr>
          <w:rFonts w:ascii="Arial" w:hAnsi="Arial" w:eastAsia="Arial"/>
          <w:lang w:val="pt-BR"/>
        </w:rPr>
        <w:t>Acompanhe conclusão, conteúdo específico por função, erros recorrentes, lições de incidentes e casos de direitos, e se o treinamento altera o comportamento quando isso puder ser medido.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28 — Prontidão perante autoridades de controle e fiscalização</w:t>
      </w:r>
    </w:p>
    <w:p>
      <w:pPr>
        <w:keepLines/>
      </w:pPr>
      <w:r>
        <w:rPr>
          <w:rFonts w:ascii="Arial" w:hAnsi="Arial" w:eastAsia="Arial"/>
          <w:lang w:val="pt-BR"/>
        </w:rPr>
        <w:t>Mantenha um pacote organizado de evidências para decisões materiais de tratamento, avisos, ROPA, AIPDs/DPIAs, contratos com operadores, decisões de transferência, casos de direitos, incidentes, controles de segurança, aconselhamento do DPO, treinamento, governança e remediação.</w:t>
      </w:r>
    </w:p>
    <w:p>
      <w:pPr>
        <w:keepLines/>
      </w:pPr>
      <w:r>
        <w:rPr>
          <w:rFonts w:ascii="Arial" w:hAnsi="Arial" w:eastAsia="Arial"/>
          <w:lang w:val="pt-BR"/>
        </w:rPr>
        <w:t>O relacionamento regulatório deve ser coordenado por liderança jurídica/de privacidade responsável e apoiado por evidências exatas, preservadas e revisáveis.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29 — IA, web scraping e tratamento automatizado</w:t>
      </w:r>
    </w:p>
    <w:p>
      <w:pPr>
        <w:keepLines/>
      </w:pPr>
      <w:r>
        <w:rPr>
          <w:rFonts w:ascii="Arial" w:hAnsi="Arial" w:eastAsia="Arial"/>
          <w:lang w:val="pt-BR"/>
        </w:rPr>
        <w:t>Avalie IA e tratamentos intensivos em dados quanto a finalidade, base legal, transparência, origem dos dados, minimização, direitos dos titulares, perfilamento/decisões automatizadas, entradas/saídas de modelos, retenção, segurança, proveniência, relações com fornecedores e indicadores de alto risco.</w:t>
      </w:r>
    </w:p>
    <w:p>
      <w:pPr>
        <w:keepLines/>
      </w:pPr>
      <w:r>
        <w:rPr>
          <w:rFonts w:ascii="Arial" w:hAnsi="Arial" w:eastAsia="Arial"/>
          <w:lang w:val="pt-BR"/>
        </w:rPr>
        <w:t>O trabalho atual do EDPB sobre web scraping para IA generativa e outros temas emergentes deve ser monitorado com controles claros que distingam materiais em rascunho de materiais finais.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30 — Anonimização, pseudonimização, pesquisa e tecnologia nova</w:t>
      </w:r>
    </w:p>
    <w:p>
      <w:pPr>
        <w:keepLines/>
      </w:pPr>
      <w:r>
        <w:rPr>
          <w:rFonts w:ascii="Arial" w:hAnsi="Arial" w:eastAsia="Arial"/>
          <w:lang w:val="pt-BR"/>
        </w:rPr>
        <w:t>Avalie alegações de anonimização em contexto e diferencie-as de pseudonimização. Para pesquisa, blockchain, dados sintéticos, tecnologias de aprimoramento de privacidade e arquiteturas novas, documente finalidade, identificabilidade, reversibilidade, vinculação de dados, governança, implicações para direitos, segurança e revisão especializada.</w:t>
      </w:r>
    </w:p>
    <w:p>
      <w:pPr>
        <w:keepLines/>
      </w:pPr>
      <w:r>
        <w:rPr>
          <w:rFonts w:ascii="Arial" w:hAnsi="Arial" w:eastAsia="Arial"/>
          <w:lang w:val="pt-BR"/>
        </w:rPr>
        <w:t>Rótulos de tecnologia emergente não alteram a necessidade de analisar o tratamento e o risco reais.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31 — Asseguração de privacidade, métricas e ação corretiva</w:t>
      </w:r>
    </w:p>
    <w:p>
      <w:pPr>
        <w:keepLines/>
      </w:pPr>
      <w:r>
        <w:rPr>
          <w:rFonts w:ascii="Arial" w:hAnsi="Arial" w:eastAsia="Arial"/>
          <w:lang w:val="pt-BR"/>
        </w:rPr>
        <w:t>Avalie se a governança e os controles de privacidade estão adequadamente desenhados, implementados, operando, evidenciados e melhorados. Use métricas vinculadas a resultados significativos, como desempenho no atendimento de direitos, registros ROPA desatualizados, ações de AIPD/DPIA não resolvidas, evidência de operadores, execução de retenção, qualidade de incidentes e falhas recorrentes de controles.</w:t>
      </w:r>
    </w:p>
    <w:p>
      <w:pPr>
        <w:keepLines/>
      </w:pPr>
      <w:r>
        <w:rPr>
          <w:rFonts w:ascii="Arial" w:hAnsi="Arial" w:eastAsia="Arial"/>
          <w:lang w:val="pt-BR"/>
        </w:rPr>
        <w:t>Pareceres jurídicos formais, certificações ou conclusões independentes de asseguração exigem profissionais competentes e evidência suficiente e apropriada.</w:t>
      </w:r>
    </w:p>
    <w:p>
      <w:pPr>
        <w:pStyle w:val="Heading2"/>
        <w:keepLines/>
        <w:keepNext/>
      </w:pPr>
      <w:r>
        <w:rPr>
          <w:rFonts w:ascii="Arial" w:hAnsi="Arial" w:eastAsia="Arial"/>
          <w:b/>
          <w:sz w:val="30"/>
          <w:lang w:val="pt-BR"/>
        </w:rPr>
        <w:t>Capítulo 32 — Limite de liberação do manual e melhoria contínua</w:t>
      </w:r>
    </w:p>
    <w:p>
      <w:pPr>
        <w:keepLines/>
      </w:pPr>
      <w:r>
        <w:rPr>
          <w:rFonts w:ascii="Arial" w:hAnsi="Arial" w:eastAsia="Arial"/>
          <w:lang w:val="pt-BR"/>
        </w:rPr>
        <w:t>O Manual 11 só é encerrado quando a verificação de fontes autorizadas, o mestre inglês controlado de 32 capítulos, a revisão editorial técnica/de privacidade/jurídica, a localização es-419 e pt-BR com revisão semântica humana, a revisão de gráficos/acessibilidade, QA de publicação DOCX/PDF, revisão de segurança do repositório/workflows, manifesto/checksums/proveniência e reconciliação de escopo alterado no head exato estiverem concluídos para o mesmo candidato exato. A autorização final de liberação aplica-se conforme o procedimento permanente do repositório quando todos os gates substantivos anteriores estiverem verdes.</w:t>
      </w:r>
    </w:p>
    <w:p>
      <w:pPr>
        <w:keepLines/>
      </w:pPr>
      <w:r>
        <w:rPr>
          <w:rFonts w:ascii="Arial" w:hAnsi="Arial" w:eastAsia="Arial"/>
          <w:lang w:val="pt-BR"/>
        </w:rPr>
        <w:t>A conclusão estabelece uma linha de base revisada de treinamento e implementação. Ela não fornece aconselhamento jurídico específico para uma organização, não garante conformidade com o RGPD, não prevê resultados de fiscalização nem substitui profissionais competentes de privacidade/jurídico ou autoridades de controle.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6"/>
        <w:lang w:val="pt-BR"/>
      </w:rPr>
      <w:t xml:space="preserve">Manual 11 | CANDIDATO CONTROLADO PARA QA DE PUBLICACAO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9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pt-BR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pt-BR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pt-BR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  <w:lang w:val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30"/>
      <w:szCs w:val="26"/>
      <w:lang w:val="pt-B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sz w:val="22"/>
      <w:lang w:val="pt-B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pt-B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pt-B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pt-B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pt-B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pt-BR"/>
    </w:rPr>
  </w:style>
  <w:style w:type="character" w:default="1" w:styleId="DefaultParagraphFont">
    <w:name w:val="Default Paragraph Font"/>
    <w:uiPriority w:val="1"/>
    <w:semiHidden/>
    <w:unhideWhenUsed/>
    <w:rPr>
      <w:lang w:val="pt-BR"/>
    </w:rPr>
  </w:style>
  <w:style w:type="table" w:default="1" w:styleId="TableNormal">
    <w:name w:val="Normal Table"/>
    <w:uiPriority w:val="99"/>
    <w:semiHidden/>
    <w:unhideWhenUsed/>
    <w:rPr>
      <w:lang w:val="pt-BR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pt-BR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pt-BR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pt-B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pt-B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pt-BR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pt-BR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pt-BR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pt-BR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pt-BR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pt-BR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pt-BR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pt-BR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pt-BR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pt-BR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pt-BR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pt-B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pt-B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pt-BR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pt-B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pt-BR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pt-BR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pt-BR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pt-BR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pt-BR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pt-B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pt-BR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pt-BR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pt-BR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pt-BR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pt-B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pt-B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pt-BR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pt-BR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pt-BR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pt-BR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pt-BR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pt-BR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pt-BR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pt-B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pt-BR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pt-BR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pt-BR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pt-BR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pt-BR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pt-BR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pt-BR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pt-BR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pt-BR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pt-BR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pt-BR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pt-BR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pt-BR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pt-BR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BR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BR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BR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BR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BR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BR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BR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BR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BR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BR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BR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BR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BR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BR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pt-BR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pt-B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pt-B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pt-B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pt-B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pt-B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pt-B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pt-B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pt-BR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pt-BR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pt-BR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pt-BR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pt-BR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pt-BR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pt-BR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pt-B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pt-B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pt-B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pt-B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pt-B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pt-B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pt-B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pt-BR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pt-BR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pt-BR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pt-BR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pt-BR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pt-BR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pt-BR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11 - Implementação Controlada do RGPD para Privacidade e Proteção de Dados</dc:title>
  <dc:subject>Manual 11 controlled publication-QA artifact; language pt-BR; source head 30410f7ba0ed3aa51b4d2ffd581fa51b05f90a28</dc:subject>
  <dc:creator>Alberto (Al) Leiva</dc:creator>
  <cp:keywords>GDPR, RGPD, privacy, data protection, ROPA, DPIA, lawful basis, rights, breach, processors, international transfers, evidence</cp:keywords>
  <dc:description>Automated generation does not provide legal advice, establish GDPR compliance, or replace competent privacy/legal review.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