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9" w:name="theird-party-risk-management"/>
    <w:p>
      <w:pPr>
        <w:pStyle w:val="Heading1"/>
      </w:pPr>
      <w:r>
        <w:t xml:space="preserve">THEIRD-PARTY RISK MANAGEMENT</w:t>
      </w:r>
    </w:p>
    <w:bookmarkEnd w:id="9"/>
    <w:bookmarkStart w:id="10"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
          <w:bCs/>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
          <w:bCs/>
        </w:rPr>
        <w:t xml:space="preserve">Alberto (Al) Leiva</w:t>
      </w:r>
    </w:p>
    <w:p>
      <w:pPr>
        <w:pStyle w:val="BodyText"/>
      </w:pPr>
      <w:r>
        <w:t xml:space="preserve">Primera edición • Julio 2026</w:t>
      </w:r>
    </w:p>
    <w:bookmarkEnd w:id="10"/>
    <w:bookmarkStart w:id="12"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11"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11"/>
    <w:bookmarkEnd w:id="12"/>
    <w:bookmarkStart w:id="13"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13"/>
    <w:bookmarkStart w:id="17" w:name="tprm-and-cyber-supply-chain-foundations"/>
    <w:p>
      <w:pPr>
        <w:pStyle w:val="Heading1"/>
      </w:pPr>
      <w:r>
        <w:t xml:space="preserve">1. TPRM and Cyber Supply Chain Foundations</w:t>
      </w:r>
    </w:p>
    <w:p>
      <w:pPr>
        <w:pStyle w:val="FirstParagraph"/>
      </w:pPr>
      <w:r>
        <w:rPr>
          <w:i/>
          <w:iCs/>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14"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14"/>
    <w:bookmarkStart w:id="15" w:name="importantes-límites"/>
    <w:p>
      <w:pPr>
        <w:pStyle w:val="Heading2"/>
      </w:pPr>
      <w:r>
        <w:t xml:space="preserve">1.2 Importantes límites</w:t>
      </w:r>
    </w:p>
    <w:p>
      <w:pPr>
        <w:pStyle w:val="FirstParagraph"/>
      </w:pPr>
      <w:r>
        <w:rPr>
          <w:b/>
          <w:bCs/>
        </w:rPr>
        <w:t xml:space="preserve">Item</w:t>
      </w:r>
      <w:r>
        <w:t xml:space="preserve"> </w:t>
      </w:r>
      <w:r>
        <w:t xml:space="preserve">|</w:t>
      </w:r>
      <w:r>
        <w:t xml:space="preserve"> </w:t>
      </w:r>
      <w:r>
        <w:rPr>
          <w:b/>
          <w:bCs/>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
          <w:bCs/>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pStyle w:val="Compact"/>
        <w:numPr>
          <w:ilvl w:val="0"/>
          <w:numId w:val="1002"/>
        </w:numPr>
      </w:pPr>
      <w:r>
        <w:t xml:space="preserve">El Ciclo de Vida de Terceros</w:t>
      </w:r>
    </w:p>
    <w:p>
      <w:pPr>
        <w:pStyle w:val="FirstParagraph"/>
      </w:pPr>
      <w:r>
        <w:rPr>
          <w:i/>
          <w:iCs/>
        </w:rPr>
        <w:t xml:space="preserve">Un proceso de ciclo de vida evita que la evaluación se convierta en un cuestionario único</w:t>
      </w:r>
      <w:r>
        <w:t xml:space="preserve">.</w:t>
      </w:r>
    </w:p>
    <w:p>
      <w:pPr>
        <w:pStyle w:val="BodyText"/>
      </w:pPr>
      <w:r>
        <w:t xml:space="preserve">■img src=</w:t>
      </w:r>
      <w:r>
        <w:t xml:space="preserve">“media/image1.png”</w:t>
      </w:r>
      <w:r>
        <w:t xml:space="preserve"> </w:t>
      </w:r>
      <w:r>
        <w:t xml:space="preserve">style=</w:t>
      </w:r>
      <w:r>
        <w:t xml:space="preserve">“width:6.15in;height:3.39605in”</w:t>
      </w:r>
      <w:r>
        <w:t xml:space="preserve"> </w:t>
      </w:r>
      <w:r>
        <w:t xml:space="preserve">alt=</w:t>
      </w:r>
      <w:r>
        <w:t xml:space="preserve">“El mismo registro debe seguir al proveedor de la solicitud de negocio a través de salida segura.”</w:t>
      </w:r>
      <w:r>
        <w:t xml:space="preserve"> </w:t>
      </w:r>
      <w:r>
        <w:t xml:space="preserve">/</w:t>
      </w:r>
    </w:p>
    <w:p>
      <w:pPr>
        <w:pStyle w:val="BodyText"/>
      </w:pPr>
      <w:r>
        <w:t xml:space="preserve">Figura 1. Ciclo de vida de riesgo de terceros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Stage</w:t>
            </w:r>
          </w:p>
        </w:tc>
      </w:tr>
      <w:tr>
        <w:tc>
          <w:tcPr/>
          <w:p>
            <w:pPr>
              <w:pStyle w:val="Compac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pStyle w:val="Compact"/>
        <w:numPr>
          <w:ilvl w:val="0"/>
          <w:numId w:val="1003"/>
        </w:numPr>
      </w:pPr>
      <w:r>
        <w:t xml:space="preserve">Gobernanza, estrategia y competencia de riesgo</w:t>
      </w:r>
    </w:p>
    <w:p>
      <w:pPr>
        <w:pStyle w:val="FirstParagraph"/>
      </w:pPr>
      <w:r>
        <w:rPr>
          <w:i/>
          <w:iCs/>
        </w:rPr>
        <w:t xml:space="preserve">Governance establece derechos de decisión, límites de riesgo, financiación y escalada</w:t>
      </w:r>
      <w:r>
        <w:t xml:space="preserve">.</w:t>
      </w:r>
    </w:p>
    <w:bookmarkEnd w:id="15"/>
    <w:bookmarkStart w:id="16"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
          <w:bCs/>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16"/>
    <w:bookmarkEnd w:id="17"/>
    <w:bookmarkStart w:id="22" w:name="inventario-clasificación-y-tiering"/>
    <w:p>
      <w:pPr>
        <w:pStyle w:val="Heading1"/>
      </w:pPr>
      <w:r>
        <w:t xml:space="preserve">4. Inventario, Clasificación y Tiering</w:t>
      </w:r>
    </w:p>
    <w:p>
      <w:pPr>
        <w:pStyle w:val="FirstParagraph"/>
      </w:pPr>
      <w:r>
        <w:rPr>
          <w:i/>
          <w:iCs/>
        </w:rPr>
        <w:t xml:space="preserve">Conocer cada proveedor y escala de trabajo para dañar probablemente.</w:t>
      </w:r>
    </w:p>
    <w:p>
      <w:pPr>
        <w:pStyle w:val="BodyText"/>
      </w:pPr>
      <w:r>
        <w:t xml:space="preserve">■img src=</w:t>
      </w:r>
      <w:r>
        <w:t xml:space="preserve">“media/image2.png”</w:t>
      </w:r>
      <w:r>
        <w:t xml:space="preserve"> </w:t>
      </w:r>
      <w:r>
        <w:t xml:space="preserve">estilo=</w:t>
      </w:r>
      <w:r>
        <w:t xml:space="preserve">“Ancho:6.15in; Altura:4.02397in”</w:t>
      </w:r>
      <w:r>
        <w:t xml:space="preserve"> </w:t>
      </w:r>
      <w:r>
        <w:t xml:space="preserve">alt=</w:t>
      </w:r>
      <w:r>
        <w:t xml:space="preserve">“Utilizar los factores documentados y permitir la escalada cuando un factor es especialmente grave”</w:t>
      </w:r>
      <w:r>
        <w:t xml:space="preserve">.</w:t>
      </w:r>
    </w:p>
    <w:p>
      <w:pPr>
        <w:pStyle w:val="BodyText"/>
      </w:pPr>
      <w:r>
        <w:t xml:space="preserve">Figura 2. Ejemplo de fichas de proveedores</w:t>
      </w:r>
    </w:p>
    <w:bookmarkStart w:id="18"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18"/>
    <w:bookmarkStart w:id="19" w:name="factores-de-inclinación"/>
    <w:p>
      <w:pPr>
        <w:pStyle w:val="Heading2"/>
      </w:pPr>
      <w:r>
        <w:t xml:space="preserve">4.2 Factores de inclinación</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pStyle w:val="Compact"/>
        <w:numPr>
          <w:ilvl w:val="0"/>
          <w:numId w:val="1006"/>
        </w:numPr>
      </w:pPr>
      <w:r>
        <w:t xml:space="preserve">Ingestión y Riesgo Inherente</w:t>
      </w:r>
    </w:p>
    <w:p>
      <w:pPr>
        <w:pStyle w:val="FirstParagraph"/>
      </w:pPr>
      <w:r>
        <w:rPr>
          <w:i/>
          <w:iCs/>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pStyle w:val="Compact"/>
        <w:numPr>
          <w:ilvl w:val="0"/>
          <w:numId w:val="1008"/>
        </w:numPr>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pStyle w:val="Compact"/>
        <w:numPr>
          <w:ilvl w:val="0"/>
          <w:numId w:val="1009"/>
        </w:numPr>
      </w:pPr>
      <w:r>
        <w:t xml:space="preserve">Due Diligence and Research</w:t>
      </w:r>
    </w:p>
    <w:p>
      <w:pPr>
        <w:pStyle w:val="FirstParagraph"/>
      </w:pPr>
      <w:r>
        <w:rPr>
          <w:i/>
          <w:iCs/>
        </w:rPr>
        <w:t xml:space="preserve">La diligencia debida reúne la información pertinente para que la organización pueda tomar una decisión de adquisición informada o de uso continuado.</w:t>
      </w:r>
    </w:p>
    <w:p>
      <w:pPr>
        <w:pStyle w:val="BodyText"/>
      </w:pPr>
      <w:r>
        <w:t xml:space="preserve">■img src=</w:t>
      </w:r>
      <w:r>
        <w:t xml:space="preserve">“media/image3.png”</w:t>
      </w:r>
      <w:r>
        <w:t xml:space="preserve"> </w:t>
      </w:r>
      <w:r>
        <w:t xml:space="preserve">style=</w:t>
      </w:r>
      <w:r>
        <w:t xml:space="preserve">“width:6.15in;height:3.39605in”</w:t>
      </w:r>
      <w:r>
        <w:t xml:space="preserve"> </w:t>
      </w:r>
      <w:r>
        <w:t xml:space="preserve">alt=</w:t>
      </w:r>
      <w:r>
        <w:t xml:space="preserve">“Las solicitudes de investigación y evidencia deben seguir el papel y el riesgo real del proveedor.”</w:t>
      </w:r>
    </w:p>
    <w:p>
      <w:pPr>
        <w:pStyle w:val="BodyText"/>
      </w:pPr>
      <w:r>
        <w:t xml:space="preserve">Gráfico 3 Corriente de trabajo de diligencia debida</w:t>
      </w:r>
    </w:p>
    <w:bookmarkEnd w:id="19"/>
    <w:bookmarkStart w:id="20" w:name="componentes-de-evaluación-nist-sp-1326"/>
    <w:p>
      <w:pPr>
        <w:pStyle w:val="Heading2"/>
      </w:pPr>
      <w:r>
        <w:t xml:space="preserve">6.1 Componentes de evaluación NIST SP 1326</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20"/>
    <w:bookmarkStart w:id="21"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
          <w:bCs/>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21"/>
    <w:bookmarkEnd w:id="22"/>
    <w:bookmarkStart w:id="23" w:name="evidencia-y-confianza"/>
    <w:p>
      <w:pPr>
        <w:pStyle w:val="Heading1"/>
      </w:pPr>
      <w:r>
        <w:t xml:space="preserve">7. Evidencia y confianza</w:t>
      </w:r>
    </w:p>
    <w:p>
      <w:pPr>
        <w:pStyle w:val="FirstParagraph"/>
      </w:pPr>
      <w:r>
        <w:rPr>
          <w:i/>
          <w:iCs/>
        </w:rPr>
        <w:t xml:space="preserve">La evidencia es útil sólo cuando coincide con el servicio, el período, el control y el riesgo que se evalúa.</w:t>
      </w:r>
    </w:p>
    <w:p>
      <w:pPr>
        <w:pStyle w:val="BodyText"/>
      </w:pPr>
      <w:r>
        <w:t xml:space="preserve">יimg src=</w:t>
      </w:r>
      <w:r>
        <w:t xml:space="preserve">“media/image4.png”</w:t>
      </w:r>
      <w:r>
        <w:t xml:space="preserve"> </w:t>
      </w:r>
      <w:r>
        <w:t xml:space="preserve">style=</w:t>
      </w:r>
      <w:r>
        <w:t xml:space="preserve">“width:6.15in;height:3.39605in”</w:t>
      </w:r>
      <w:r>
        <w:t xml:space="preserve"> </w:t>
      </w:r>
      <w:r>
        <w:t xml:space="preserve">alt=</w:t>
      </w:r>
      <w:r>
        <w:t xml:space="preserve">“Las fuentes de evidencia se complementan unos a otros; ningún artefacto único responde cada pregunta.”</w:t>
      </w:r>
      <w:r>
        <w:t xml:space="preserve"> </w:t>
      </w:r>
      <w:r>
        <w:t xml:space="preserve">/</w:t>
      </w:r>
    </w:p>
    <w:p>
      <w:pPr>
        <w:pStyle w:val="BodyText"/>
      </w:pPr>
      <w:r>
        <w:t xml:space="preserve">Figura 4. Escalera de confianza en la prueba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Artifact</w:t>
            </w:r>
          </w:p>
        </w:tc>
      </w:tr>
      <w:tr>
        <w:tc>
          <w:tcPr/>
          <w:p>
            <w:pPr>
              <w:pStyle w:val="Compact"/>
            </w:pPr>
            <w:r>
              <w:t xml:space="preserve">TEN SOC 2 Tipo 2</w:t>
            </w:r>
          </w:p>
        </w:tc>
      </w:tr>
      <w:tr>
        <w:tc>
          <w:tcPr/>
          <w:p>
            <w:pPr>
              <w:pStyle w:val="Compact"/>
            </w:pPr>
            <w:r>
              <w:t xml:space="preserve">ISO/IEC 27001 certificado</w:t>
            </w:r>
          </w:p>
        </w:tc>
      </w:tr>
      <w:tr>
        <w:tc>
          <w:tcPr/>
          <w:p>
            <w:pPr>
              <w:pStyle w:val="Compact"/>
            </w:pPr>
            <w:r>
              <w:t xml:space="preserve">Penetration-test report tención Tester independence/skill, scope, date, method, exclusions, severidad, remediation, retest</w:t>
            </w:r>
          </w:p>
        </w:tc>
      </w:tr>
      <w:tr>
        <w:tc>
          <w:tcPr/>
          <w:p>
            <w:pPr>
              <w:pStyle w:val="Compac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23"/>
    <w:bookmarkStart w:id="25" w:name="alcanzar-riesgos-y-tratamiento"/>
    <w:p>
      <w:pPr>
        <w:pStyle w:val="Heading1"/>
      </w:pPr>
      <w:r>
        <w:t xml:space="preserve">8. Alcanzar riesgos y tratamiento</w:t>
      </w:r>
    </w:p>
    <w:p>
      <w:pPr>
        <w:pStyle w:val="FirstParagraph"/>
      </w:pPr>
      <w:r>
        <w:rPr>
          <w:i/>
          <w:iCs/>
        </w:rPr>
        <w:t xml:space="preserve">La puntuación de la tinta apoya decisiones consistentes, pero los números no deben ocultar incertidumbre o problemas individuales graves.</w:t>
      </w:r>
    </w:p>
    <w:bookmarkStart w:id="24"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
          <w:bCs/>
        </w:rPr>
        <w:t xml:space="preserve">Tratamiento</w:t>
      </w:r>
      <w:r>
        <w:t xml:space="preserve"> </w:t>
      </w:r>
      <w:r>
        <w:t xml:space="preserve">|</w:t>
      </w:r>
      <w:r>
        <w:t xml:space="preserve"> </w:t>
      </w:r>
      <w:r>
        <w:rPr>
          <w:b/>
          <w:bCs/>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
          <w:bCs/>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pStyle w:val="Compact"/>
        <w:numPr>
          <w:ilvl w:val="0"/>
          <w:numId w:val="1012"/>
        </w:numPr>
      </w:pPr>
      <w:r>
        <w:t xml:space="preserve">Requisitos contractuales</w:t>
      </w:r>
    </w:p>
    <w:p>
      <w:pPr>
        <w:pStyle w:val="FirstParagraph"/>
      </w:pPr>
      <w:r>
        <w:rPr>
          <w:i/>
          <w:iCs/>
        </w:rPr>
        <w:t xml:space="preserve">Los contratos convierten los requisitos seleccionados en responsabilidades ejecutables.</w:t>
      </w:r>
    </w:p>
    <w:p>
      <w:pPr>
        <w:pStyle w:val="BodyText"/>
      </w:pPr>
      <w:r>
        <w:rPr>
          <w:b/>
          <w:bCs/>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
          <w:bCs/>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24"/>
    <w:bookmarkEnd w:id="25"/>
    <w:bookmarkStart w:id="28" w:name="a-bordo-seguro"/>
    <w:p>
      <w:pPr>
        <w:pStyle w:val="Heading1"/>
      </w:pPr>
      <w:r>
        <w:t xml:space="preserve">10. A bordo seguro</w:t>
      </w:r>
    </w:p>
    <w:p>
      <w:pPr>
        <w:pStyle w:val="FirstParagraph"/>
      </w:pPr>
      <w:r>
        <w:rPr>
          <w:i/>
          <w:iCs/>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26"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pStyle w:val="Compact"/>
        <w:numPr>
          <w:ilvl w:val="0"/>
          <w:numId w:val="1015"/>
        </w:numPr>
      </w:pPr>
      <w:r>
        <w:t xml:space="preserve">Vigilancia continua</w:t>
      </w:r>
    </w:p>
    <w:p>
      <w:pPr>
        <w:pStyle w:val="FirstParagraph"/>
      </w:pPr>
      <w:r>
        <w:rPr>
          <w:i/>
          <w:iCs/>
        </w:rPr>
        <w:t xml:space="preserve">Monitoring detecta cambios significativos y verifica que el tratamiento continúa funcionando.</w:t>
      </w:r>
    </w:p>
    <w:p>
      <w:pPr>
        <w:pStyle w:val="BodyText"/>
      </w:pPr>
      <w:r>
        <w:rPr>
          <w:b/>
          <w:bCs/>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26"/>
    <w:bookmarkStart w:id="27"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27"/>
    <w:bookmarkEnd w:id="28"/>
    <w:bookmarkStart w:id="30" w:name="conclusiones-remediación-y-excepciones"/>
    <w:p>
      <w:pPr>
        <w:pStyle w:val="Heading1"/>
      </w:pPr>
      <w:r>
        <w:t xml:space="preserve">12. Conclusiones, Remediación y Excepciones</w:t>
      </w:r>
    </w:p>
    <w:p>
      <w:pPr>
        <w:pStyle w:val="FirstParagraph"/>
      </w:pPr>
      <w:r>
        <w:rPr>
          <w:i/>
          <w:iCs/>
        </w:rPr>
        <w:t xml:space="preserve">Un hallazgo es una brecha documentada entre criterios y condición observada.</w:t>
      </w:r>
    </w:p>
    <w:p>
      <w:pPr>
        <w:pStyle w:val="BodyText"/>
      </w:pPr>
      <w:r>
        <w:rPr>
          <w:b/>
          <w:bCs/>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29"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29"/>
    <w:bookmarkEnd w:id="30"/>
    <w:bookmarkStart w:id="32" w:name="X98c8347cba1078108befd3a289a549d1d1c95df"/>
    <w:p>
      <w:pPr>
        <w:pStyle w:val="Heading1"/>
      </w:pPr>
      <w:r>
        <w:t xml:space="preserve">13. Incidentes y notificaciones de proveedores</w:t>
      </w:r>
    </w:p>
    <w:p>
      <w:pPr>
        <w:pStyle w:val="FirstParagraph"/>
      </w:pPr>
      <w:r>
        <w:rPr>
          <w:i/>
          <w:iCs/>
        </w:rPr>
        <w:t xml:space="preserve">Los incidentes del proveedor requieren hechos compartidos, roles, relojes, canales y decisiones de recuperación</w:t>
      </w:r>
      <w:r>
        <w:t xml:space="preserve">.</w:t>
      </w:r>
    </w:p>
    <w:p>
      <w:pPr>
        <w:pStyle w:val="BodyText"/>
      </w:pPr>
      <w:r>
        <w:t xml:space="preserve">■img src=</w:t>
      </w:r>
      <w:r>
        <w:t xml:space="preserve">“media/image5.png”</w:t>
      </w:r>
      <w:r>
        <w:t xml:space="preserve"> </w:t>
      </w:r>
      <w:r>
        <w:t xml:space="preserve">style=</w:t>
      </w:r>
      <w:r>
        <w:t xml:space="preserve">“width:6.15in;height:3.39605in”</w:t>
      </w:r>
      <w:r>
        <w:t xml:space="preserve"> </w:t>
      </w:r>
      <w:r>
        <w:t xml:space="preserve">alt=“Contract language helps only when contacts and decisions are practiced.</w:t>
      </w:r>
    </w:p>
    <w:p>
      <w:pPr>
        <w:pStyle w:val="BodyText"/>
      </w:pPr>
      <w:r>
        <w:t xml:space="preserve">Gráfico 5 Coordinación de incidentes de proveedores</w:t>
      </w:r>
    </w:p>
    <w:bookmarkStart w:id="31"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
          <w:bCs/>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31"/>
    <w:bookmarkEnd w:id="32"/>
    <w:bookmarkStart w:id="35" w:name="X650cd4538d99490bd0466240858b87d7adfe24b"/>
    <w:p>
      <w:pPr>
        <w:pStyle w:val="Heading1"/>
      </w:pPr>
      <w:r>
        <w:t xml:space="preserve">14. Cuartas Partes, concentración y riesgo sistémico</w:t>
      </w:r>
    </w:p>
    <w:p>
      <w:pPr>
        <w:pStyle w:val="FirstParagraph"/>
      </w:pPr>
      <w:r>
        <w:rPr>
          <w:i/>
          <w:iCs/>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“media/image6.png”</w:t>
      </w:r>
      <w:r>
        <w:t xml:space="preserve"> </w:t>
      </w:r>
      <w:r>
        <w:t xml:space="preserve">estilo=</w:t>
      </w:r>
      <w:r>
        <w:t xml:space="preserve">“Ancho:6.15in; Altura:4.32536in”</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33"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33"/>
    <w:bookmarkStart w:id="34"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34"/>
    <w:bookmarkEnd w:id="35"/>
    <w:bookmarkStart w:id="36" w:name="vendedores-de-cloud-y-saas"/>
    <w:p>
      <w:pPr>
        <w:pStyle w:val="Heading1"/>
      </w:pPr>
      <w:r>
        <w:t xml:space="preserve">15. Vendedores de Cloud y SaaS</w:t>
      </w:r>
    </w:p>
    <w:p>
      <w:pPr>
        <w:pStyle w:val="FirstParagraph"/>
      </w:pPr>
      <w:r>
        <w:rPr>
          <w:i/>
          <w:iCs/>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
          <w:bCs/>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36"/>
    <w:bookmarkStart w:id="39" w:name="software-and-open-source-supply-chains"/>
    <w:p>
      <w:pPr>
        <w:pStyle w:val="Heading1"/>
      </w:pPr>
      <w:r>
        <w:t xml:space="preserve">16. Software and Open-Source Supply Chains</w:t>
      </w:r>
    </w:p>
    <w:p>
      <w:pPr>
        <w:pStyle w:val="FirstParagraph"/>
      </w:pPr>
      <w:r>
        <w:rPr>
          <w:i/>
          <w:iCs/>
        </w:rPr>
        <w:t xml:space="preserve">El riesgo de robo incluye prácticas de proveedores y cada componente, construye paso, canal de actualización y dependencia.</w:t>
      </w:r>
    </w:p>
    <w:p>
      <w:pPr>
        <w:pStyle w:val="BodyText"/>
      </w:pPr>
      <w:r>
        <w:t xml:space="preserve">יimg src=</w:t>
      </w:r>
      <w:r>
        <w:t xml:space="preserve">“media/image7.png”</w:t>
      </w:r>
      <w:r>
        <w:t xml:space="preserve"> </w:t>
      </w:r>
      <w:r>
        <w:t xml:space="preserve">style=</w:t>
      </w:r>
      <w:r>
        <w:t xml:space="preserve">“width:6.15in;height:3.39605in”</w:t>
      </w:r>
      <w:r>
        <w:t xml:space="preserve"> </w:t>
      </w:r>
      <w:r>
        <w:t xml:space="preserve">alt=</w:t>
      </w:r>
      <w:r>
        <w:t xml:space="preserve">“Conecte el SBOM y evidencia de seguridad a la versión exacta liberada y operada.”</w:t>
      </w:r>
      <w:r>
        <w:t xml:space="preserve"> </w:t>
      </w:r>
      <w:r>
        <w:t xml:space="preserve">/</w:t>
      </w:r>
    </w:p>
    <w:p>
      <w:pPr>
        <w:pStyle w:val="BodyText"/>
      </w:pPr>
      <w:r>
        <w:t xml:space="preserve">Gráfico 7 Flujo de evidencia de cadena de suministro de software</w:t>
      </w:r>
    </w:p>
    <w:bookmarkStart w:id="37"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37"/>
    <w:bookmarkStart w:id="38"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38"/>
    <w:bookmarkEnd w:id="39"/>
    <w:bookmarkStart w:id="40" w:name="vendedores-de-inteligencia-artificial"/>
    <w:p>
      <w:pPr>
        <w:pStyle w:val="Heading1"/>
      </w:pPr>
      <w:r>
        <w:t xml:space="preserve">17. Vendedores de Inteligencia Artificial</w:t>
      </w:r>
    </w:p>
    <w:p>
      <w:pPr>
        <w:pStyle w:val="FirstParagraph"/>
      </w:pPr>
      <w:r>
        <w:rPr>
          <w:i/>
          <w:iCs/>
        </w:rPr>
        <w:t xml:space="preserve">Los proveedores de IAI agregan modelos cambiantes, capacitación y datos rápidos, salidas inciertas y cadenas de proveedores ocultas.</w:t>
      </w:r>
    </w:p>
    <w:p>
      <w:pPr>
        <w:pStyle w:val="BodyText"/>
      </w:pPr>
      <w:r>
        <w:t xml:space="preserve">“Iniciar el caso de uso permitido, los datos, el impacto, la cadena modelo, la evaluación y el control humano”</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40"/>
    <w:bookmarkStart w:id="42" w:name="privacidad-y-protección-de-datos"/>
    <w:p>
      <w:pPr>
        <w:pStyle w:val="Heading1"/>
      </w:pPr>
      <w:r>
        <w:t xml:space="preserve">18. Privacidad y Protección de Datos</w:t>
      </w:r>
    </w:p>
    <w:p>
      <w:pPr>
        <w:pStyle w:val="FirstParagraph"/>
      </w:pPr>
      <w:r>
        <w:rPr>
          <w:i/>
          <w:iCs/>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pStyle w:val="Compact"/>
        <w:numPr>
          <w:ilvl w:val="0"/>
          <w:numId w:val="1023"/>
        </w:numPr>
      </w:pPr>
      <w:r>
        <w:t xml:space="preserve">Resiliencia, continuidad y salida</w:t>
      </w:r>
    </w:p>
    <w:p>
      <w:pPr>
        <w:pStyle w:val="FirstParagraph"/>
      </w:pPr>
      <w:r>
        <w:rPr>
          <w:i/>
          <w:iCs/>
        </w:rPr>
        <w:t xml:space="preserve">Resilience means providing critical outcomes despite provider disruption and leaving safe when necessary.</w:t>
      </w:r>
    </w:p>
    <w:p>
      <w:pPr>
        <w:pStyle w:val="BodyText"/>
      </w:pPr>
      <w:r>
        <w:t xml:space="preserve">Capability** Silencioso</w:t>
      </w:r>
      <w:r>
        <w:t xml:space="preserve"> </w:t>
      </w:r>
      <w:r>
        <w:rPr>
          <w:b/>
          <w:bCs/>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41"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pStyle w:val="Compact"/>
        <w:numPr>
          <w:ilvl w:val="0"/>
          <w:numId w:val="1025"/>
        </w:numPr>
      </w:pPr>
      <w:r>
        <w:t xml:space="preserve">NIST CSF 2.0 Resultados del proveedor</w:t>
      </w:r>
    </w:p>
    <w:p>
      <w:pPr>
        <w:pStyle w:val="FirstParagraph"/>
      </w:pPr>
      <w:r>
        <w:rPr>
          <w:i/>
          <w:iCs/>
        </w:rPr>
        <w:t xml:space="preserve">NIST CSF 2.0 coloca la gobernanza de la cadena de suministro en la categoría GV.SC.</w:t>
      </w:r>
    </w:p>
    <w:p>
      <w:pPr>
        <w:pStyle w:val="BodyText"/>
      </w:pPr>
      <w:r>
        <w:rPr>
          <w:b/>
          <w:bCs/>
        </w:rPr>
        <w:t xml:space="preserve">Responde</w:t>
      </w:r>
      <w:r>
        <w:t xml:space="preserve"> </w:t>
      </w:r>
      <w:r>
        <w:t xml:space="preserve">|</w:t>
      </w:r>
      <w:r>
        <w:t xml:space="preserve"> </w:t>
      </w:r>
      <w:r>
        <w:rPr>
          <w:b/>
          <w:bCs/>
        </w:rPr>
        <w:t xml:space="preserve">Significado claro</w:t>
      </w:r>
      <w:r>
        <w:rPr>
          <w:b/>
          <w:bCs/>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
          <w:bCs/>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41"/>
    <w:bookmarkEnd w:id="42"/>
    <w:bookmarkStart w:id="44" w:name="nist-c-scrm-orientación-en-la-práctica"/>
    <w:p>
      <w:pPr>
        <w:pStyle w:val="Heading1"/>
      </w:pPr>
      <w:r>
        <w:t xml:space="preserve">21. NIST C-SCRM Orientación en la práctica</w:t>
      </w:r>
    </w:p>
    <w:p>
      <w:pPr>
        <w:pStyle w:val="FirstParagraph"/>
      </w:pPr>
      <w:r>
        <w:rPr>
          <w:i/>
          <w:iCs/>
        </w:rPr>
        <w:t xml:space="preserve">Las publicaciones actuales NIST proporcionan orientación complementaria sobre programa, evaluación y planificación.</w:t>
      </w:r>
    </w:p>
    <w:p>
      <w:pPr>
        <w:pStyle w:val="BodyText"/>
      </w:pPr>
      <w:r>
        <w:rPr>
          <w:b/>
          <w:bCs/>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43" w:name="pensamiento-de-tres-niveles"/>
    <w:p>
      <w:pPr>
        <w:pStyle w:val="Heading2"/>
      </w:pPr>
      <w:r>
        <w:t xml:space="preserve">21.1 Pensamiento de tres niveles</w:t>
      </w:r>
    </w:p>
    <w:p>
      <w:pPr>
        <w:pStyle w:val="FirstParagraph"/>
      </w:pPr>
      <w:r>
        <w:rPr>
          <w:b/>
          <w:bCs/>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pStyle w:val="Compact"/>
        <w:numPr>
          <w:ilvl w:val="0"/>
          <w:numId w:val="1026"/>
        </w:numPr>
      </w:pPr>
      <w:r>
        <w:t xml:space="preserve">Un plan C-SCRM explica los arreglos previstos y aplicados. Los evaluadores todavía necesitan pruebas fiables de que funcionan los controles pertinentes.</w:t>
      </w:r>
      <w:r>
        <w:t xml:space="preserve"> </w:t>
      </w:r>
      <w:r>
        <w:t xml:space="preserve">|. |</w:t>
      </w:r>
    </w:p>
    <w:bookmarkEnd w:id="43"/>
    <w:bookmarkEnd w:id="44"/>
    <w:bookmarkStart w:id="45" w:name="compliance-and-framework-mappings"/>
    <w:p>
      <w:pPr>
        <w:pStyle w:val="Heading1"/>
      </w:pPr>
      <w:r>
        <w:t xml:space="preserve">22. Compliance and Framework Mappings</w:t>
      </w:r>
    </w:p>
    <w:p>
      <w:pPr>
        <w:pStyle w:val="FirstParagraph"/>
      </w:pPr>
      <w:r>
        <w:rPr>
          <w:i/>
          <w:iCs/>
        </w:rPr>
        <w:t xml:space="preserve">Los ajustes coordinan el trabajo, pero cada obligación debe ser interpretada y probada en sus propios términos</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Silencioso</w:t>
            </w:r>
            <w:r>
              <w:t xml:space="preserve"> </w:t>
            </w:r>
            <w:r>
              <w:rPr>
                <w:b/>
                <w:bCs/>
              </w:rPr>
              <w:t xml:space="preserve">Framework / obligation</w:t>
            </w:r>
          </w:p>
        </w:tc>
      </w:tr>
      <w:tr>
        <w:tc>
          <w:tcPr/>
          <w:p>
            <w:pPr>
              <w:pStyle w:val="Compact"/>
            </w:pPr>
            <w:r>
              <w:t xml:space="preserve">SOC 2</w:t>
            </w:r>
          </w:p>
        </w:tc>
      </w:tr>
      <w:tr>
        <w:tc>
          <w:tcPr/>
          <w:p>
            <w:pPr>
              <w:pStyle w:val="Compact"/>
            </w:pPr>
            <w:r>
              <w:t xml:space="preserve">TEN ISO/IEC 27001:2022</w:t>
            </w:r>
          </w:p>
        </w:tc>
      </w:tr>
      <w:tr>
        <w:tc>
          <w:tcPr/>
          <w:p>
            <w:pPr>
              <w:pStyle w:val="Compact"/>
            </w:pPr>
            <w:r>
              <w:t xml:space="preserve">PCI DSS v4.0.1</w:t>
            </w:r>
          </w:p>
        </w:tc>
      </w:tr>
      <w:tr>
        <w:tc>
          <w:tcPr/>
          <w:p>
            <w:pPr>
              <w:pStyle w:val="Compact"/>
            </w:pPr>
            <w:r>
              <w:t xml:space="preserve">HIPAA</w:t>
            </w:r>
          </w:p>
        </w:tc>
      </w:tr>
      <w:tr>
        <w:tc>
          <w:tcPr/>
          <w:p>
            <w:pPr>
              <w:pStyle w:val="Compac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45"/>
    <w:bookmarkStart w:id="47" w:name="pruebas-de-pruebas-y-métricas"/>
    <w:p>
      <w:pPr>
        <w:pStyle w:val="Heading1"/>
      </w:pPr>
      <w:r>
        <w:t xml:space="preserve">23. Pruebas de pruebas y métricas</w:t>
      </w:r>
    </w:p>
    <w:p>
      <w:pPr>
        <w:pStyle w:val="FirstParagraph"/>
      </w:pPr>
      <w:r>
        <w:rPr>
          <w:i/>
          <w:iCs/>
        </w:rPr>
        <w:t xml:space="preserve">Testing pregunta si los controles están diseñados, implementados y funcionando correctamente para el alcance completo.</w:t>
      </w:r>
    </w:p>
    <w:p>
      <w:pPr>
        <w:pStyle w:val="BodyText"/>
      </w:pPr>
      <w:r>
        <w:t xml:space="preserve">■img src=</w:t>
      </w:r>
      <w:r>
        <w:t xml:space="preserve">“media/image9.png”</w:t>
      </w:r>
      <w:r>
        <w:t xml:space="preserve"> </w:t>
      </w:r>
      <w:r>
        <w:t xml:space="preserve">style=</w:t>
      </w:r>
      <w:r>
        <w:t xml:space="preserve">“width:6.15in;height:3.39605in”</w:t>
      </w:r>
      <w:r>
        <w:t xml:space="preserve"> </w:t>
      </w:r>
      <w:r>
        <w:t xml:space="preserve">alt=</w:t>
      </w:r>
      <w:r>
        <w:t xml:space="preserve">“Cada conclusión debe ser trazable de criterios exactos a través de la prueba.”</w:t>
      </w:r>
      <w:r>
        <w:t xml:space="preserve"> </w:t>
      </w:r>
      <w:r>
        <w:t xml:space="preserve">/</w:t>
      </w:r>
    </w:p>
    <w:p>
      <w:pPr>
        <w:pStyle w:val="BodyText"/>
      </w:pPr>
      <w:r>
        <w:t xml:space="preserve">Figura 9. Cadena de pruebas de evidencia</w:t>
      </w:r>
    </w:p>
    <w:bookmarkStart w:id="46"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
          <w:bCs/>
        </w:rPr>
        <w:t xml:space="preserve">Cálculo del ejemplo</w:t>
      </w:r>
      <w:r>
        <w:t xml:space="preserve"> </w:t>
      </w:r>
      <w:r>
        <w:t xml:space="preserve">|</w:t>
      </w:r>
      <w:r>
        <w:t xml:space="preserve"> </w:t>
      </w:r>
      <w:r>
        <w:rPr>
          <w:b/>
          <w:bCs/>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pStyle w:val="Compact"/>
        <w:numPr>
          <w:ilvl w:val="0"/>
          <w:numId w:val="1027"/>
        </w:numPr>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pStyle w:val="Compact"/>
        <w:numPr>
          <w:ilvl w:val="0"/>
          <w:numId w:val="1028"/>
        </w:numPr>
      </w:pPr>
      <w:r>
        <w:t xml:space="preserve">Herramientas de código abierto</w:t>
      </w:r>
    </w:p>
    <w:p>
      <w:pPr>
        <w:pStyle w:val="FirstParagraph"/>
      </w:pPr>
      <w:r>
        <w:rPr>
          <w:i/>
          <w:iCs/>
        </w:rPr>
        <w:t xml:space="preserve">Las herramientas de código abierto pueden apoyar inventario, pruebas, seguridad de software, pruebas técnicas, monitoreo y remediación.</w:t>
      </w:r>
    </w:p>
    <w:bookmarkEnd w:id="46"/>
    <w:bookmarkEnd w:id="47"/>
    <w:bookmarkStart w:id="76"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
          <w:bCs/>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49"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48">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49"/>
    <w:bookmarkStart w:id="50"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0"/>
    <w:bookmarkStart w:id="52"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51">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2"/>
    <w:bookmarkStart w:id="54"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53">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4"/>
    <w:bookmarkStart w:id="56" w:name="grype"/>
    <w:p>
      <w:pPr>
        <w:pStyle w:val="Heading2"/>
      </w:pPr>
      <w:r>
        <w:t xml:space="preserve">24.5 Grype</w:t>
      </w:r>
    </w:p>
    <w:p>
      <w:pPr>
        <w:pStyle w:val="FirstParagraph"/>
      </w:pPr>
      <w:r>
        <w:t xml:space="preserve">Propósito: Escaneo de vulnerabilidad para imágenes y SBOMs. Proyecto oficial:</w:t>
      </w:r>
      <w:r>
        <w:t xml:space="preserve"> </w:t>
      </w:r>
      <w:hyperlink r:id="rId55">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6"/>
    <w:bookmarkStart w:id="58"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57">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8"/>
    <w:bookmarkStart w:id="60"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59">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2"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61">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2"/>
    <w:bookmarkStart w:id="63"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64">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66">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keycloak"/>
    <w:p>
      <w:pPr>
        <w:pStyle w:val="Heading2"/>
      </w:pPr>
      <w:r>
        <w:t xml:space="preserve">24.12 Keycloak</w:t>
      </w:r>
    </w:p>
    <w:p>
      <w:pPr>
        <w:pStyle w:val="FirstParagraph"/>
      </w:pPr>
      <w:r>
        <w:t xml:space="preserve">Propósito: Identidad, roles, MFA, sesiones y eventos. Proyecto oficial:</w:t>
      </w:r>
      <w:r>
        <w:t xml:space="preserve"> </w:t>
      </w:r>
      <w:hyperlink r:id="rId68">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0"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0"/>
    <w:bookmarkStart w:id="71"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nmap"/>
    <w:p>
      <w:pPr>
        <w:pStyle w:val="Heading2"/>
      </w:pPr>
      <w:r>
        <w:t xml:space="preserve">24.15 Nmap</w:t>
      </w:r>
    </w:p>
    <w:p>
      <w:pPr>
        <w:pStyle w:val="FirstParagraph"/>
      </w:pPr>
      <w:r>
        <w:t xml:space="preserve">Propósito: Servicio autorizado y descubrimiento de activos. Proyecto oficial:</w:t>
      </w:r>
      <w:r>
        <w:t xml:space="preserve"> </w:t>
      </w:r>
      <w:hyperlink r:id="rId72">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5"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74">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5"/>
    <w:bookmarkEnd w:id="76"/>
    <w:bookmarkStart w:id="78" w:name="manual-de-tprm-para-gerentes"/>
    <w:p>
      <w:pPr>
        <w:pStyle w:val="Heading1"/>
      </w:pPr>
      <w:r>
        <w:t xml:space="preserve">25. Manual de TPRM para gerentes</w:t>
      </w:r>
    </w:p>
    <w:p>
      <w:pPr>
        <w:pStyle w:val="FirstParagraph"/>
      </w:pPr>
      <w:r>
        <w:rPr>
          <w:i/>
          <w:iCs/>
        </w:rPr>
        <w:t xml:space="preserve">Los administradores hacen que el programa sea real estableciendo prioridades, resolviendo conflictos, financiando tratamiento y desafiando pruebas</w:t>
      </w:r>
      <w:r>
        <w:t xml:space="preserve">.</w:t>
      </w:r>
    </w:p>
    <w:p>
      <w:pPr>
        <w:pStyle w:val="BodyText"/>
      </w:pPr>
      <w:r>
        <w:rPr>
          <w:b/>
          <w:bCs/>
        </w:rPr>
        <w:t xml:space="preserve">Área del panel</w:t>
      </w:r>
      <w:r>
        <w:t xml:space="preserve"> </w:t>
      </w:r>
      <w:r>
        <w:t xml:space="preserve">|</w:t>
      </w:r>
      <w:r>
        <w:t xml:space="preserve"> </w:t>
      </w:r>
      <w:r>
        <w:rPr>
          <w:b/>
          <w:bCs/>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77"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
          <w:bCs/>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77"/>
    <w:bookmarkEnd w:id="78"/>
    <w:bookmarkStart w:id="81" w:name="junior-analyst-career-guide"/>
    <w:p>
      <w:pPr>
        <w:pStyle w:val="Heading1"/>
      </w:pPr>
      <w:r>
        <w:t xml:space="preserve">26. Junior Analyst Career Guide</w:t>
      </w:r>
    </w:p>
    <w:p>
      <w:pPr>
        <w:pStyle w:val="FirstParagraph"/>
      </w:pPr>
      <w:r>
        <w:rPr>
          <w:i/>
          <w:iCs/>
        </w:rPr>
        <w:t xml:space="preserve">Los analistas de Junior crean valor produciendo inventarios precisos, exámenes de evidencia, hallazgos y seguimiento.</w:t>
      </w:r>
    </w:p>
    <w:p>
      <w:pPr>
        <w:pStyle w:val="BodyText"/>
      </w:pPr>
      <w:r>
        <w:t xml:space="preserve">■img src=</w:t>
      </w:r>
      <w:r>
        <w:t xml:space="preserve">“media/image10.png”</w:t>
      </w:r>
      <w:r>
        <w:t xml:space="preserve"> </w:t>
      </w:r>
      <w:r>
        <w:t xml:space="preserve">estilo=</w:t>
      </w:r>
      <w:r>
        <w:t xml:space="preserve">“width:6.15in;height:3.39605in”</w:t>
      </w:r>
      <w:r>
        <w:t xml:space="preserve"> </w:t>
      </w:r>
      <w:r>
        <w:t xml:space="preserve">alt=</w:t>
      </w:r>
      <w:r>
        <w:t xml:space="preserve">“Trabajo cuidado y limitaciones honestas construyen una cartera y confianza profesional.”</w:t>
      </w:r>
      <w:r>
        <w:t xml:space="preserve"> </w:t>
      </w:r>
      <w:r>
        <w:t xml:space="preserve">/</w:t>
      </w:r>
    </w:p>
    <w:p>
      <w:pPr>
        <w:pStyle w:val="BodyText"/>
      </w:pPr>
      <w:r>
        <w:t xml:space="preserve">Gráfico 10 Júnior TPRM analista</w:t>
      </w:r>
    </w:p>
    <w:bookmarkStart w:id="79"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79"/>
    <w:bookmarkStart w:id="80"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80"/>
    <w:bookmarkEnd w:id="81"/>
    <w:bookmarkStart w:id="93" w:name="laboratorio-ficcional-y-portfolio"/>
    <w:p>
      <w:pPr>
        <w:pStyle w:val="Heading1"/>
      </w:pPr>
      <w:r>
        <w:t xml:space="preserve">27. Laboratorio Ficcional y Portfolio</w:t>
      </w:r>
    </w:p>
    <w:p>
      <w:pPr>
        <w:pStyle w:val="FirstParagraph"/>
      </w:pPr>
      <w:r>
        <w:rPr>
          <w:i/>
          <w:iCs/>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
          <w:bCs/>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pStyle w:val="Compact"/>
        <w:numPr>
          <w:ilvl w:val="0"/>
          <w:numId w:val="1030"/>
        </w:numPr>
      </w:pPr>
      <w:r>
        <w:t xml:space="preserve">Plan de aprendizaje de 30 días</w:t>
      </w:r>
    </w:p>
    <w:p>
      <w:pPr>
        <w:pStyle w:val="FirstParagraph"/>
      </w:pPr>
      <w:r>
        <w:rPr>
          <w:i/>
          <w:iCs/>
        </w:rPr>
        <w:t xml:space="preserve">Un mes centrado puede crear una capacidad útil de nivel de entrada</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1–3</w:t>
            </w:r>
          </w:p>
        </w:tc>
      </w:tr>
      <w:tr>
        <w:tc>
          <w:tcPr/>
          <w:p>
            <w:pPr>
              <w:pStyle w:val="Compact"/>
            </w:pPr>
            <w:r>
              <w:t xml:space="preserve">4–6</w:t>
            </w:r>
          </w:p>
        </w:tc>
      </w:tr>
      <w:tr>
        <w:tc>
          <w:tcPr/>
          <w:p>
            <w:pPr>
              <w:pStyle w:val="Compact"/>
            </w:pPr>
            <w:r>
              <w:t xml:space="preserve">7–10</w:t>
            </w:r>
          </w:p>
        </w:tc>
      </w:tr>
      <w:tr>
        <w:tc>
          <w:tcPr/>
          <w:p>
            <w:pPr>
              <w:pStyle w:val="Compact"/>
            </w:pPr>
            <w:r>
              <w:t xml:space="preserve">TEN 11–13</w:t>
            </w:r>
          </w:p>
        </w:tc>
      </w:tr>
      <w:tr>
        <w:tc>
          <w:tcPr/>
          <w:p>
            <w:pPr>
              <w:pStyle w:val="Compact"/>
            </w:pPr>
            <w:r>
              <w:t xml:space="preserve">TEN 14–16</w:t>
            </w:r>
          </w:p>
        </w:tc>
      </w:tr>
      <w:tr>
        <w:tc>
          <w:tcPr/>
          <w:p>
            <w:pPr>
              <w:pStyle w:val="Compact"/>
            </w:pPr>
            <w:r>
              <w:t xml:space="preserve">TEN 17–19 ANTERIENTE Contratos, a bordo, monitoreando</w:t>
            </w:r>
          </w:p>
        </w:tc>
      </w:tr>
      <w:tr>
        <w:tc>
          <w:tcPr/>
          <w:p>
            <w:pPr>
              <w:pStyle w:val="Compact"/>
            </w:pPr>
            <w:r>
              <w:t xml:space="preserve">TEN 20–22</w:t>
            </w:r>
          </w:p>
        </w:tc>
      </w:tr>
      <w:tr>
        <w:tc>
          <w:tcPr/>
          <w:p>
            <w:pPr>
              <w:pStyle w:val="Compact"/>
            </w:pPr>
            <w:r>
              <w:t xml:space="preserve">TEN 23–25</w:t>
            </w:r>
          </w:p>
        </w:tc>
      </w:tr>
      <w:tr>
        <w:tc>
          <w:tcPr/>
          <w:p>
            <w:pPr>
              <w:pStyle w:val="Compact"/>
            </w:pPr>
            <w:r>
              <w:t xml:space="preserve">26–27</w:t>
            </w:r>
          </w:p>
        </w:tc>
      </w:tr>
      <w:tr>
        <w:tc>
          <w:tcPr/>
          <w:p>
            <w:pPr>
              <w:pStyle w:val="Compact"/>
            </w:pPr>
            <w:r>
              <w:t xml:space="preserve">TEN 28–30 TENIDA Metrics, portafolio, entrevista</w:t>
            </w:r>
          </w:p>
        </w:tc>
      </w:tr>
    </w:tbl>
    <w:p>
      <w:pPr>
        <w:pStyle w:val="Compact"/>
        <w:numPr>
          <w:ilvl w:val="0"/>
          <w:numId w:val="1031"/>
        </w:numPr>
      </w:pPr>
      <w:r>
        <w:t xml:space="preserve">Preparación de entrevistas</w:t>
      </w:r>
    </w:p>
    <w:p>
      <w:pPr>
        <w:pStyle w:val="FirstParagraph"/>
      </w:pPr>
      <w:r>
        <w:rPr>
          <w:i/>
          <w:iCs/>
        </w:rPr>
        <w:t xml:space="preserve">Las respuestas de interés deben ser cortas, precisas y atadas a ejemplos</w:t>
      </w:r>
      <w:r>
        <w:t xml:space="preserve">.</w:t>
      </w:r>
    </w:p>
    <w:bookmarkStart w:id="82"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82"/>
    <w:bookmarkStart w:id="83"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83"/>
    <w:bookmarkStart w:id="84"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84"/>
    <w:bookmarkStart w:id="85"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85"/>
    <w:bookmarkStart w:id="86"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86"/>
    <w:bookmarkStart w:id="87"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87"/>
    <w:bookmarkStart w:id="88"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88"/>
    <w:bookmarkStart w:id="89"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89"/>
    <w:bookmarkStart w:id="90"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90"/>
    <w:bookmarkStart w:id="91"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91"/>
    <w:bookmarkStart w:id="92"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92"/>
    <w:bookmarkEnd w:id="93"/>
    <w:bookmarkStart w:id="105" w:name="plantillas-glosario-índice-y-referencias"/>
    <w:p>
      <w:pPr>
        <w:pStyle w:val="Heading1"/>
      </w:pPr>
      <w:r>
        <w:t xml:space="preserve">30. Plantillas, Glosario, Índice y Referencias</w:t>
      </w:r>
    </w:p>
    <w:p>
      <w:pPr>
        <w:pStyle w:val="Compact"/>
        <w:numPr>
          <w:ilvl w:val="0"/>
          <w:numId w:val="1032"/>
        </w:numPr>
      </w:pPr>
      <w:r>
        <w:t xml:space="preserve">Estructuras reutilizables, términos clave, índice de sujeto y puntos de partida oficiales.*</w:t>
      </w:r>
    </w:p>
    <w:bookmarkStart w:id="94"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“Pripose”</w:t>
      </w:r>
      <w:r>
        <w:t xml:space="preserve"> </w:t>
      </w:r>
      <w:r>
        <w:t xml:space="preserve">y procesos críticos</w:t>
      </w:r>
      <w:r>
        <w:t xml:space="preserve"> </w:t>
      </w:r>
      <w:r>
        <w:t xml:space="preserve">“vivir”</w:t>
      </w:r>
      <w:r>
        <w:t xml:space="preserve"> </w:t>
      </w:r>
      <w:r>
        <w:t xml:space="preserve">TENIENDO Datos / ubicaciones / transferencias |                                  </w:t>
      </w:r>
      <w:r>
        <w:br/>
      </w:r>
      <w:r>
        <w:t xml:space="preserve">“Acceso a las integraciones / privilegios”</w:t>
      </w:r>
      <w:r>
        <w:t xml:space="preserve"> </w:t>
      </w:r>
      <w:r>
        <w:t xml:space="preserve">“Primeras fiestas / concentración”</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“La vigilancia / el incidente / estado de la salida”</w:t>
      </w:r>
    </w:p>
    <w:bookmarkEnd w:id="94"/>
    <w:bookmarkStart w:id="95"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“La decisión y el alcance de la vida”</w:t>
      </w:r>
      <w:r>
        <w:t xml:space="preserve"> </w:t>
      </w:r>
      <w:r>
        <w:t xml:space="preserve">Fuentes de la vida / fechas / confiabilidad</w:t>
      </w:r>
      <w:r>
        <w:t xml:space="preserve"> </w:t>
      </w:r>
      <w:r>
        <w:t xml:space="preserve">| FOCI |                               </w:t>
      </w:r>
      <w:r>
        <w:br/>
      </w:r>
      <w:r>
        <w:t xml:space="preserve">“La venganza en la vida”</w:t>
      </w:r>
      <w:r>
        <w:t xml:space="preserve"> </w:t>
      </w:r>
      <w:r>
        <w:t xml:space="preserve">“La Resiliencia de la Vida”</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95"/>
    <w:bookmarkStart w:id="96"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“Entity / system / location scope”</w:t>
      </w:r>
      <w:r>
        <w:t xml:space="preserve"> </w:t>
      </w:r>
      <w:r>
        <w:t xml:space="preserve">Criterios de la vida / período estándar / duración                              </w:t>
      </w:r>
      <w:r>
        <w:br/>
      </w:r>
      <w:r>
        <w:t xml:space="preserve">“Opinión o estado de vida”</w:t>
      </w:r>
      <w:r>
        <w:t xml:space="preserve"> </w:t>
      </w:r>
      <w:r>
        <w:t xml:space="preserve">Tests / excepciones / hallazgos |                                                                                                                            </w:t>
      </w:r>
      <w:r>
        <w:t xml:space="preserve"> </w:t>
      </w:r>
      <w:r>
        <w:t xml:space="preserve">TENIDOS DE LAS CUESTIONES DEL cliente |                                                                                                                          </w:t>
      </w:r>
      <w:r>
        <w:t xml:space="preserve"> </w:t>
      </w:r>
      <w:r>
        <w:t xml:space="preserve">“Las organizaciones de subservicio en la vida”</w:t>
      </w:r>
      <w:r>
        <w:t xml:space="preserve"> </w:t>
      </w:r>
      <w:r>
        <w:t xml:space="preserve">Subsequent events / changes                      </w:t>
      </w:r>
      <w:r>
        <w:br/>
      </w:r>
      <w:r>
        <w:t xml:space="preserve">“Aplicabilidad a nuestro uso”</w:t>
      </w:r>
      <w:r>
        <w:t xml:space="preserve"> </w:t>
      </w:r>
      <w:r>
        <w:t xml:space="preserve">Н Gaps / action / retest ⋅                            </w:t>
      </w:r>
    </w:p>
    <w:bookmarkEnd w:id="96"/>
    <w:bookmarkStart w:id="97"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“Princes Criteria”</w:t>
      </w:r>
      <w:r>
        <w:t xml:space="preserve"> </w:t>
      </w:r>
      <w:r>
        <w:t xml:space="preserve">“Acondicionamiento/población / evidencia”</w:t>
      </w:r>
      <w:r>
        <w:t xml:space="preserve"> </w:t>
      </w:r>
      <w:r>
        <w:t xml:space="preserve">El escenario de riesgo de muerte/el impacto de la vida                       </w:t>
      </w:r>
      <w:r>
        <w:br/>
      </w:r>
      <w:r>
        <w:t xml:space="preserve">| Cause / uncertainty |                               </w:t>
      </w:r>
      <w:r>
        <w:br/>
      </w:r>
      <w:r>
        <w:t xml:space="preserve">“Acción permanente / protección provisional”</w:t>
      </w:r>
      <w:r>
        <w:t xml:space="preserve"> </w:t>
      </w:r>
      <w:r>
        <w:t xml:space="preserve">“Prisionista de la vida”</w:t>
      </w:r>
      <w:r>
        <w:t xml:space="preserve"> </w:t>
      </w:r>
      <w:r>
        <w:t xml:space="preserve">“Aprudente de la Excepción”</w:t>
      </w:r>
      <w:r>
        <w:t xml:space="preserve"> </w:t>
      </w:r>
      <w:r>
        <w:t xml:space="preserve">“La vigilancia de la vida / el gatillo”</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97"/>
    <w:bookmarkStart w:id="98"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98"/>
    <w:bookmarkStart w:id="99"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99"/>
    <w:bookmarkStart w:id="100"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00"/>
    <w:bookmarkStart w:id="104"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01">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02">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03">
        <w:r>
          <w:rPr>
            <w:rStyle w:val="Hyperlink"/>
          </w:rPr>
          <w:t xml:space="preserve">Normativa de verificación de componentes de software de XZO</w:t>
        </w:r>
      </w:hyperlink>
    </w:p>
    <w:p>
      <w:pPr>
        <w:pStyle w:val="BodyText"/>
      </w:pPr>
      <w:r>
        <w:t xml:space="preserve">[ ]](https://www.bestpractices.dev/)</w:t>
      </w:r>
    </w:p>
    <w:p>
      <w:pPr>
        <w:pStyle w:val="BodyText"/>
      </w:pPr>
      <w:r>
        <w:rPr>
          <w:b/>
          <w:bCs/>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1" Target="https://csrc.nist.gov/pubs/sp/800/18/r2/final" TargetMode="External" /><Relationship Type="http://schemas.openxmlformats.org/officeDocument/2006/relationships/hyperlink" Id="rId51" Target="https://cyclonedx.org/" TargetMode="External" /><Relationship Type="http://schemas.openxmlformats.org/officeDocument/2006/relationships/hyperlink" Id="rId55" Target="https://github.com/anchore/grype" TargetMode="External" /><Relationship Type="http://schemas.openxmlformats.org/officeDocument/2006/relationships/hyperlink" Id="rId53" Target="https://github.com/anchore/syft" TargetMode="External" /><Relationship Type="http://schemas.openxmlformats.org/officeDocument/2006/relationships/hyperlink" Id="rId61" Target="https://guac.sh/" TargetMode="External" /><Relationship Type="http://schemas.openxmlformats.org/officeDocument/2006/relationships/hyperlink" Id="rId48" Target="https://intuitem.github.io/ciso-assistant-community/" TargetMode="External" /><Relationship Type="http://schemas.openxmlformats.org/officeDocument/2006/relationships/hyperlink" Id="rId72" Target="https://nmap.org/" TargetMode="External" /><Relationship Type="http://schemas.openxmlformats.org/officeDocument/2006/relationships/hyperlink" Id="rId59" Target="https://scorecard.dev/" TargetMode="External" /><Relationship Type="http://schemas.openxmlformats.org/officeDocument/2006/relationships/hyperlink" Id="rId103" Target="https://scvs.owasp.org/" TargetMode="External" /><Relationship Type="http://schemas.openxmlformats.org/officeDocument/2006/relationships/hyperlink" Id="rId57" Target="https://trivy.dev/" TargetMode="External" /><Relationship Type="http://schemas.openxmlformats.org/officeDocument/2006/relationships/hyperlink" Id="rId66" Target="https://wazuh.com/" TargetMode="External" /><Relationship Type="http://schemas.openxmlformats.org/officeDocument/2006/relationships/hyperlink" Id="rId64" Target="https://www.defectdojo.org/" TargetMode="External" /><Relationship Type="http://schemas.openxmlformats.org/officeDocument/2006/relationships/hyperlink" Id="rId68" Target="https://www.keycloak.org/" TargetMode="External" /><Relationship Type="http://schemas.openxmlformats.org/officeDocument/2006/relationships/hyperlink" Id="rId102" Target="https://www.nist.gov/cyberframework" TargetMode="External" /><Relationship Type="http://schemas.openxmlformats.org/officeDocument/2006/relationships/hyperlink" Id="rId7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csrc.nist.gov/pubs/sp/800/18/r2/final" TargetMode="External" /><Relationship Type="http://schemas.openxmlformats.org/officeDocument/2006/relationships/hyperlink" Id="rId51" Target="https://cyclonedx.org/" TargetMode="External" /><Relationship Type="http://schemas.openxmlformats.org/officeDocument/2006/relationships/hyperlink" Id="rId55" Target="https://github.com/anchore/grype" TargetMode="External" /><Relationship Type="http://schemas.openxmlformats.org/officeDocument/2006/relationships/hyperlink" Id="rId53" Target="https://github.com/anchore/syft" TargetMode="External" /><Relationship Type="http://schemas.openxmlformats.org/officeDocument/2006/relationships/hyperlink" Id="rId61" Target="https://guac.sh/" TargetMode="External" /><Relationship Type="http://schemas.openxmlformats.org/officeDocument/2006/relationships/hyperlink" Id="rId48" Target="https://intuitem.github.io/ciso-assistant-community/" TargetMode="External" /><Relationship Type="http://schemas.openxmlformats.org/officeDocument/2006/relationships/hyperlink" Id="rId72" Target="https://nmap.org/" TargetMode="External" /><Relationship Type="http://schemas.openxmlformats.org/officeDocument/2006/relationships/hyperlink" Id="rId59" Target="https://scorecard.dev/" TargetMode="External" /><Relationship Type="http://schemas.openxmlformats.org/officeDocument/2006/relationships/hyperlink" Id="rId103" Target="https://scvs.owasp.org/" TargetMode="External" /><Relationship Type="http://schemas.openxmlformats.org/officeDocument/2006/relationships/hyperlink" Id="rId57" Target="https://trivy.dev/" TargetMode="External" /><Relationship Type="http://schemas.openxmlformats.org/officeDocument/2006/relationships/hyperlink" Id="rId66" Target="https://wazuh.com/" TargetMode="External" /><Relationship Type="http://schemas.openxmlformats.org/officeDocument/2006/relationships/hyperlink" Id="rId64" Target="https://www.defectdojo.org/" TargetMode="External" /><Relationship Type="http://schemas.openxmlformats.org/officeDocument/2006/relationships/hyperlink" Id="rId68" Target="https://www.keycloak.org/" TargetMode="External" /><Relationship Type="http://schemas.openxmlformats.org/officeDocument/2006/relationships/hyperlink" Id="rId102" Target="https://www.nist.gov/cyberframework" TargetMode="External" /><Relationship Type="http://schemas.openxmlformats.org/officeDocument/2006/relationships/hyperlink" Id="rId7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2026-07-28T20:35:12Z</dcterms:created>
  <dcterms:modified xsi:type="dcterms:W3CDTF">2026-07-28T20:35:12Z</dcterms:modified>
</cp:coreProperties>
</file>

<file path=docProps/custom.xml><?xml version="1.0" encoding="utf-8"?>
<Properties xmlns="http://schemas.openxmlformats.org/officeDocument/2006/custom-properties" xmlns:vt="http://schemas.openxmlformats.org/officeDocument/2006/docPropsVTypes"/>
</file>