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9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9"/>
    <w:bookmarkStart w:id="10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10"/>
    <w:bookmarkStart w:id="1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11"/>
    <w:bookmarkStart w:id="15" w:name="tprm-e-cyber-supply-chain-fundações"/>
    <w:p>
      <w:pPr>
        <w:pStyle w:val="Heading1"/>
      </w:pPr>
      <w:r>
        <w:t xml:space="preserve">1. TPRM e Cyber Supply Chain Fundações</w:t>
      </w:r>
    </w:p>
    <w:p>
      <w:pPr>
        <w:pStyle w:val="Compact"/>
        <w:numPr>
          <w:ilvl w:val="0"/>
          <w:numId w:val="1002"/>
        </w:numPr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12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12"/>
    <w:bookmarkStart w:id="13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pStyle w:val="Compact"/>
        <w:numPr>
          <w:ilvl w:val="0"/>
          <w:numId w:val="1003"/>
        </w:numPr>
      </w:pPr>
      <w:r>
        <w:t xml:space="preserve">O Ciclo de Vida da Terceira Parte</w:t>
      </w:r>
    </w:p>
    <w:p>
      <w:pPr>
        <w:pStyle w:val="Compact"/>
        <w:numPr>
          <w:ilvl w:val="0"/>
          <w:numId w:val="1004"/>
        </w:numPr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13"/>
    <w:bookmarkStart w:id="14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14"/>
    <w:bookmarkEnd w:id="15"/>
    <w:bookmarkStart w:id="19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/>
          <w:iCs/>
        </w:rPr>
        <w:t xml:space="preserve">Governança estabelece direitos de decisão, limites de risco, financiamento e escalada.</w:t>
      </w:r>
    </w:p>
    <w:bookmarkStart w:id="16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16"/>
    <w:bookmarkStart w:id="17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17"/>
    <w:bookmarkStart w:id="18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18"/>
    <w:bookmarkEnd w:id="19"/>
    <w:bookmarkStart w:id="23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/>
          <w:iCs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20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20"/>
    <w:bookmarkStart w:id="21" w:name="fatores-de-nivelamento"/>
    <w:p>
      <w:pPr>
        <w:pStyle w:val="Heading2"/>
      </w:pPr>
      <w:r>
        <w:t xml:space="preserve">4.2 Fatores de nivelamento</w:t>
      </w:r>
    </w:p>
    <w:bookmarkEnd w:id="21"/>
    <w:bookmarkStart w:id="22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/>
          <w:bCs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pStyle w:val="Compact"/>
        <w:numPr>
          <w:ilvl w:val="0"/>
          <w:numId w:val="1007"/>
        </w:numPr>
      </w:pPr>
      <w:r>
        <w:t xml:space="preserve">Risco de Ingestão e Inerência</w:t>
      </w:r>
    </w:p>
    <w:p>
      <w:pPr>
        <w:pStyle w:val="FirstParagraph"/>
      </w:pPr>
      <w:r>
        <w:rPr>
          <w:i/>
          <w:iCs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2"/>
    <w:bookmarkEnd w:id="23"/>
    <w:bookmarkStart w:id="27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/>
          <w:iCs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2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24"/>
    <w:bookmarkStart w:id="26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pStyle w:val="Compact"/>
        <w:numPr>
          <w:ilvl w:val="0"/>
          <w:numId w:val="1010"/>
        </w:numPr>
      </w:pPr>
      <w:r>
        <w:t xml:space="preserve">Revisão e Confiança de Evidências</w:t>
      </w:r>
    </w:p>
    <w:p>
      <w:pPr>
        <w:pStyle w:val="Compact"/>
        <w:numPr>
          <w:ilvl w:val="0"/>
          <w:numId w:val="1011"/>
        </w:numPr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pStyle w:val="Heading2"/>
        <w:numPr>
          <w:ilvl w:val="0"/>
          <w:numId w:val="1012"/>
        </w:numPr>
      </w:pPr>
      <w:bookmarkStart w:id="25" w:name="Xaa957440699d25bbde39eaa6e0eb5bbc21779bf"/>
      <w:r>
        <w:t xml:space="preserve">Artifact** ** Pontos de revisão** ** Armadilha comum**</w:t>
      </w:r>
      <w:bookmarkEnd w:id="25"/>
    </w:p>
    <w:p>
      <w:pPr>
        <w:pStyle w:val="Compact"/>
        <w:numPr>
          <w:ilvl w:val="0"/>
          <w:numId w:val="1000"/>
        </w:numPr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26"/>
    <w:bookmarkEnd w:id="27"/>
    <w:bookmarkStart w:id="31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/>
          <w:iCs/>
        </w:rPr>
        <w:t xml:space="preserve">A pontuação de Risk suporta decisões consistentes, mas os números não devem esconder incerteza ou problemas graves.</w:t>
      </w:r>
    </w:p>
    <w:bookmarkStart w:id="28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28"/>
    <w:bookmarkStart w:id="29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29"/>
    <w:bookmarkStart w:id="30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30"/>
    <w:bookmarkEnd w:id="31"/>
    <w:bookmarkStart w:id="34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/>
          <w:iCs/>
        </w:rPr>
        <w:t xml:space="preserve">Contratos convertem requisitos selecionados em responsabilidades executórias.</w:t>
      </w:r>
    </w:p>
    <w:bookmarkStart w:id="32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32"/>
    <w:bookmarkStart w:id="33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pStyle w:val="Compact"/>
        <w:numPr>
          <w:ilvl w:val="0"/>
          <w:numId w:val="1014"/>
        </w:numPr>
      </w:pPr>
      <w:r>
        <w:t xml:space="preserve">Abordagem segura</w:t>
      </w:r>
    </w:p>
    <w:p>
      <w:pPr>
        <w:pStyle w:val="FirstParagraph"/>
      </w:pPr>
      <w:r>
        <w:rPr>
          <w:i/>
          <w:iCs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33"/>
    <w:bookmarkEnd w:id="34"/>
    <w:bookmarkStart w:id="35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35"/>
    <w:bookmarkStart w:id="37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/>
          <w:iCs/>
        </w:rPr>
        <w:t xml:space="preserve">O monitoramento detecta mudanças significativas e verifica que o tratamento continua funcionando.</w:t>
      </w:r>
    </w:p>
    <w:bookmarkStart w:id="36" w:name="signal-possible-action"/>
    <w:p>
      <w:pPr>
        <w:pStyle w:val="Heading2"/>
      </w:pPr>
      <w:r>
        <w:t xml:space="preserve">*Signal</w:t>
      </w:r>
      <w:r>
        <w:rPr>
          <w:b/>
          <w:bCs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36"/>
    <w:bookmarkEnd w:id="37"/>
    <w:bookmarkStart w:id="40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pStyle w:val="Heading2"/>
        <w:numPr>
          <w:ilvl w:val="0"/>
          <w:numId w:val="1018"/>
        </w:numPr>
      </w:pPr>
      <w:bookmarkStart w:id="38" w:name="elemento-de-localização-conteúdo"/>
      <w:r>
        <w:rPr>
          <w:b/>
          <w:bCs/>
        </w:rPr>
        <w:t xml:space="preserve">Elemento de localização</w:t>
      </w:r>
      <w:r>
        <w:t xml:space="preserve"> </w:t>
      </w:r>
      <w:r>
        <w:rPr>
          <w:b/>
          <w:bCs/>
        </w:rPr>
        <w:t xml:space="preserve">Conteúdo</w:t>
      </w:r>
      <w:bookmarkEnd w:id="38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39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39"/>
    <w:bookmarkEnd w:id="40"/>
    <w:bookmarkStart w:id="41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pStyle w:val="Compact"/>
        <w:numPr>
          <w:ilvl w:val="0"/>
          <w:numId w:val="1019"/>
        </w:numPr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41"/>
    <w:bookmarkStart w:id="43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pStyle w:val="Heading2"/>
        <w:numPr>
          <w:ilvl w:val="0"/>
          <w:numId w:val="1021"/>
        </w:numPr>
      </w:pPr>
      <w:bookmarkStart w:id="42" w:name="X945e943b0fe098cef9963a72368a1f25cc8ad95"/>
      <w:r>
        <w:t xml:space="preserve">Primeiras perguntas** Por que elas importam**</w:t>
      </w:r>
      <w:bookmarkEnd w:id="42"/>
    </w:p>
    <w:p>
      <w:pPr>
        <w:pStyle w:val="Compact"/>
        <w:numPr>
          <w:ilvl w:val="0"/>
          <w:numId w:val="1000"/>
        </w:numPr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43"/>
    <w:bookmarkStart w:id="44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/>
          <w:iCs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44"/>
    <w:bookmarkStart w:id="45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45"/>
    <w:bookmarkStart w:id="47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pStyle w:val="Compact"/>
        <w:numPr>
          <w:ilvl w:val="0"/>
          <w:numId w:val="1024"/>
        </w:numPr>
      </w:pPr>
      <w:r>
        <w:t xml:space="preserve">Cloud e SaaS Vendedores</w:t>
      </w:r>
    </w:p>
    <w:p>
      <w:pPr>
        <w:pStyle w:val="Compact"/>
        <w:numPr>
          <w:ilvl w:val="0"/>
          <w:numId w:val="1025"/>
        </w:numPr>
      </w:pPr>
      <w:r>
        <w:t xml:space="preserve">O risco de nuvem e SaaS depende do modelo de responsabilidade compartilhada e da configuração da organização.*</w:t>
      </w:r>
    </w:p>
    <w:bookmarkStart w:id="46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46"/>
    <w:bookmarkEnd w:id="47"/>
    <w:bookmarkStart w:id="48" w:name="software-e-correntes-de-fonte-aberta"/>
    <w:p>
      <w:pPr>
        <w:pStyle w:val="Heading1"/>
      </w:pPr>
      <w:r>
        <w:t xml:space="preserve">16. Software e correntes de fonte aberta</w:t>
      </w:r>
    </w:p>
    <w:p>
      <w:pPr>
        <w:pStyle w:val="Compact"/>
        <w:numPr>
          <w:ilvl w:val="0"/>
          <w:numId w:val="1026"/>
        </w:numPr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48"/>
    <w:bookmarkStart w:id="51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49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pStyle w:val="Compact"/>
        <w:numPr>
          <w:ilvl w:val="0"/>
          <w:numId w:val="1029"/>
        </w:numPr>
      </w:pPr>
      <w:r>
        <w:t xml:space="preserve">Vendedores de Inteligência Artificial</w:t>
      </w:r>
    </w:p>
    <w:p>
      <w:pPr>
        <w:pStyle w:val="FirstParagraph"/>
      </w:pPr>
      <w:r>
        <w:rPr>
          <w:i/>
          <w:iCs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49"/>
    <w:bookmarkStart w:id="50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50"/>
    <w:bookmarkEnd w:id="51"/>
    <w:bookmarkStart w:id="52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/>
          <w:iCs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2"/>
    <w:bookmarkStart w:id="54" w:name="resiliência-continuidade-e-saída"/>
    <w:p>
      <w:pPr>
        <w:pStyle w:val="Heading1"/>
      </w:pPr>
      <w:r>
        <w:t xml:space="preserve">19. Resiliência, Continuidade e Saída</w:t>
      </w:r>
    </w:p>
    <w:p>
      <w:pPr>
        <w:pStyle w:val="Compact"/>
        <w:numPr>
          <w:ilvl w:val="0"/>
          <w:numId w:val="1031"/>
        </w:numPr>
      </w:pPr>
      <w:r>
        <w:t xml:space="preserve">Resiliência significa entregar resultados críticos, apesar da interrupção do fornecedor e deixando com segurança quando necessário.*</w:t>
      </w:r>
    </w:p>
    <w:bookmarkStart w:id="53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53"/>
    <w:bookmarkEnd w:id="54"/>
    <w:bookmarkStart w:id="57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/>
          <w:iCs/>
        </w:rPr>
        <w:t xml:space="preserve">NIST CSF 2.0 coloca a governança da cadeia de suprimentos na categoria GV.SC.</w:t>
      </w:r>
    </w:p>
    <w:bookmarkStart w:id="55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55"/>
    <w:bookmarkStart w:id="56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56"/>
    <w:bookmarkEnd w:id="57"/>
    <w:bookmarkStart w:id="59" w:name="nist-c-scrm-orientação-na-prática"/>
    <w:p>
      <w:pPr>
        <w:pStyle w:val="Heading1"/>
      </w:pPr>
      <w:r>
        <w:t xml:space="preserve">21. NIST C-SCRM Orientação na Prática</w:t>
      </w:r>
    </w:p>
    <w:p>
      <w:pPr>
        <w:pStyle w:val="Compact"/>
        <w:numPr>
          <w:ilvl w:val="0"/>
          <w:numId w:val="1033"/>
        </w:numPr>
      </w:pPr>
      <w:r>
        <w:t xml:space="preserve">As publicações atuais NIST fornecem orientações complementares sobre programa, avaliação e planejamento.*</w:t>
      </w:r>
    </w:p>
    <w:bookmarkStart w:id="58" w:name="publicação-papel-actual"/>
    <w:p>
      <w:pPr>
        <w:pStyle w:val="Heading2"/>
      </w:pPr>
      <w:r>
        <w:rPr>
          <w:b/>
          <w:bCs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58"/>
    <w:bookmarkEnd w:id="59"/>
    <w:bookmarkStart w:id="61" w:name="pensamento-de-três-níveis"/>
    <w:p>
      <w:pPr>
        <w:pStyle w:val="Heading1"/>
      </w:pPr>
      <w:r>
        <w:t xml:space="preserve"># 21,1 Pensamento de três níveis</w:t>
      </w:r>
    </w:p>
    <w:bookmarkStart w:id="60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60"/>
    <w:bookmarkEnd w:id="61"/>
    <w:bookmarkStart w:id="63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pStyle w:val="Compact"/>
        <w:numPr>
          <w:ilvl w:val="0"/>
          <w:numId w:val="1034"/>
        </w:numPr>
      </w:pPr>
      <w:r>
        <w:t xml:space="preserve">Os mapeamentos coordenam o trabalho, mas cada obrigação deve ser interpretada e testada em seus próprios termos.*</w:t>
      </w:r>
    </w:p>
    <w:bookmarkStart w:id="62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62"/>
    <w:bookmarkEnd w:id="63"/>
    <w:bookmarkStart w:id="66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/>
          <w:iCs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65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pStyle w:val="Heading2"/>
        <w:numPr>
          <w:ilvl w:val="0"/>
          <w:numId w:val="1035"/>
        </w:numPr>
      </w:pPr>
      <w:bookmarkStart w:id="64" w:name="X86179dcd7fbe5fe8ce156f57e535ae3b397de4c"/>
      <w:r>
        <w:t xml:space="preserve">** ** ** ** Cálculo de exemplo** ** ** O que ele pode revelar**</w:t>
      </w:r>
      <w:bookmarkEnd w:id="64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5"/>
    <w:bookmarkEnd w:id="66"/>
    <w:bookmarkStart w:id="69" w:name="ferramentas-de-código-aberto"/>
    <w:p>
      <w:pPr>
        <w:pStyle w:val="Heading1"/>
      </w:pPr>
      <w:r>
        <w:t xml:space="preserve">24. Ferramentas de Código Aberto</w:t>
      </w:r>
    </w:p>
    <w:p>
      <w:pPr>
        <w:pStyle w:val="Compact"/>
        <w:numPr>
          <w:ilvl w:val="0"/>
          <w:numId w:val="1036"/>
        </w:numPr>
      </w:pPr>
      <w:r>
        <w:t xml:space="preserve">Ferramentas de código aberto podem suportar inventário, evidência, garantia de software, testes técnicos, monitoramento e remediação.*</w:t>
      </w:r>
    </w:p>
    <w:bookmarkStart w:id="67" w:name="ferramenta-purpose"/>
    <w:p>
      <w:pPr>
        <w:pStyle w:val="Heading2"/>
      </w:pPr>
      <w:r>
        <w:t xml:space="preserve">*Ferramenta** *Purpose**</w:t>
      </w:r>
    </w:p>
    <w:p>
      <w:pPr>
        <w:pStyle w:val="Compact"/>
        <w:numPr>
          <w:ilvl w:val="0"/>
          <w:numId w:val="1037"/>
        </w:numPr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pStyle w:val="Compact"/>
        <w:numPr>
          <w:ilvl w:val="0"/>
          <w:numId w:val="1037"/>
        </w:numPr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pStyle w:val="Compact"/>
        <w:numPr>
          <w:ilvl w:val="0"/>
          <w:numId w:val="1037"/>
        </w:numPr>
      </w:pPr>
      <w:r>
        <w:t xml:space="preserve">OSV-Scanner * Verificações de vulnerabilidade conhecidas para dependências *</w:t>
      </w:r>
    </w:p>
    <w:p>
      <w:pPr>
        <w:pStyle w:val="Compact"/>
        <w:numPr>
          <w:ilvl w:val="0"/>
          <w:numId w:val="1037"/>
        </w:numPr>
      </w:pPr>
      <w:r>
        <w:t xml:space="preserve">DefectDojo * Encontrar ingestão, deduplicação, remediação e reteste *</w:t>
      </w:r>
    </w:p>
    <w:p>
      <w:pPr>
        <w:pStyle w:val="Compact"/>
        <w:numPr>
          <w:ilvl w:val="0"/>
          <w:numId w:val="1037"/>
        </w:numPr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pStyle w:val="Compact"/>
        <w:numPr>
          <w:ilvl w:val="0"/>
          <w:numId w:val="1037"/>
        </w:numPr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67"/>
    <w:bookmarkStart w:id="68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68"/>
    <w:bookmarkEnd w:id="69"/>
    <w:bookmarkStart w:id="71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70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1"/>
    <w:bookmarkStart w:id="73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72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3"/>
    <w:bookmarkStart w:id="77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74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76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75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6"/>
    <w:bookmarkEnd w:id="77"/>
    <w:bookmarkStart w:id="79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78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79"/>
    <w:bookmarkStart w:id="81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80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1"/>
    <w:bookmarkStart w:id="83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82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3"/>
    <w:bookmarkStart w:id="87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84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6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85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6"/>
    <w:bookmarkEnd w:id="87"/>
    <w:bookmarkStart w:id="89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8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9"/>
    <w:bookmarkStart w:id="91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90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1"/>
    <w:bookmarkStart w:id="93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9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3"/>
    <w:bookmarkStart w:id="95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9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5"/>
    <w:bookmarkStart w:id="97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96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Start w:id="99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9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9"/>
    <w:bookmarkStart w:id="101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1"/>
    <w:bookmarkStart w:id="104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pStyle w:val="Heading2"/>
        <w:numPr>
          <w:ilvl w:val="0"/>
          <w:numId w:val="1038"/>
        </w:numPr>
      </w:pPr>
      <w:bookmarkStart w:id="102" w:name="Xb56cd5a87bf42f1975f9050a867341e00622698"/>
      <w:r>
        <w:t xml:space="preserve">** Área do tabuleiro** ** Pergunta do gestor** ** Escalar quando**</w:t>
      </w:r>
      <w:bookmarkEnd w:id="102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03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3"/>
    <w:bookmarkEnd w:id="104"/>
    <w:bookmarkStart w:id="105" w:name="guia-de-carreira-do-analista-júnior"/>
    <w:p>
      <w:pPr>
        <w:pStyle w:val="Heading1"/>
      </w:pPr>
      <w:r>
        <w:t xml:space="preserve">26. Guia de Carreira do Analista Júnior</w:t>
      </w:r>
    </w:p>
    <w:p>
      <w:pPr>
        <w:pStyle w:val="Compact"/>
        <w:numPr>
          <w:ilvl w:val="0"/>
          <w:numId w:val="1039"/>
        </w:numPr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05"/>
    <w:bookmarkStart w:id="106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06"/>
    <w:bookmarkStart w:id="108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07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07"/>
    <w:bookmarkEnd w:id="108"/>
    <w:bookmarkStart w:id="109" w:name="laboratório-fictício-e-portfólio"/>
    <w:p>
      <w:pPr>
        <w:pStyle w:val="Heading1"/>
      </w:pPr>
      <w:r>
        <w:t xml:space="preserve">27. Laboratório Fictício e Portfólio</w:t>
      </w:r>
    </w:p>
    <w:p>
      <w:pPr>
        <w:pStyle w:val="Compact"/>
        <w:numPr>
          <w:ilvl w:val="0"/>
          <w:numId w:val="1040"/>
        </w:numPr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09"/>
    <w:bookmarkStart w:id="111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pStyle w:val="Heading2"/>
        <w:numPr>
          <w:ilvl w:val="0"/>
          <w:numId w:val="1042"/>
        </w:numPr>
      </w:pPr>
      <w:bookmarkStart w:id="110" w:name="dias-foco-entrega"/>
      <w:r>
        <w:t xml:space="preserve">Dias** * Foco** * Entrega**</w:t>
      </w:r>
      <w:bookmarkEnd w:id="110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pStyle w:val="Compact"/>
        <w:numPr>
          <w:ilvl w:val="0"/>
          <w:numId w:val="1043"/>
        </w:numPr>
      </w:pPr>
      <w:r>
        <w:t xml:space="preserve">Preparação da entrevista</w:t>
      </w:r>
    </w:p>
    <w:p>
      <w:pPr>
        <w:pStyle w:val="Compact"/>
        <w:numPr>
          <w:ilvl w:val="0"/>
          <w:numId w:val="1044"/>
        </w:numPr>
      </w:pPr>
      <w:r>
        <w:t xml:space="preserve">As respostas de entrevista devem ser curtas, precisas e ligadas a exemplos.*</w:t>
      </w:r>
    </w:p>
    <w:bookmarkEnd w:id="111"/>
    <w:bookmarkStart w:id="112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12"/>
    <w:bookmarkStart w:id="113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13"/>
    <w:bookmarkStart w:id="120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14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14"/>
    <w:bookmarkStart w:id="115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15"/>
    <w:bookmarkStart w:id="116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16"/>
    <w:bookmarkStart w:id="117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17"/>
    <w:bookmarkStart w:id="118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18"/>
    <w:bookmarkStart w:id="119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19"/>
    <w:bookmarkEnd w:id="120"/>
    <w:bookmarkStart w:id="121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21"/>
    <w:bookmarkStart w:id="122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22"/>
    <w:bookmarkStart w:id="123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45"/>
        </w:numPr>
      </w:pPr>
      <w:r>
        <w:t xml:space="preserve">Estruturas reutilizáveis, termos-chave, índice de assunto e pontos de partida oficiais.*</w:t>
      </w:r>
    </w:p>
    <w:bookmarkEnd w:id="123"/>
    <w:bookmarkStart w:id="125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pStyle w:val="Heading2"/>
        <w:numPr>
          <w:ilvl w:val="0"/>
          <w:numId w:val="1046"/>
        </w:numPr>
      </w:pPr>
      <w:bookmarkStart w:id="124" w:name="campo-entrada"/>
      <w:r>
        <w:t xml:space="preserve">Campo** * Entrada**</w:t>
      </w:r>
      <w:bookmarkEnd w:id="124"/>
    </w:p>
    <w:p>
      <w:pPr>
        <w:pStyle w:val="Compact"/>
        <w:numPr>
          <w:ilvl w:val="0"/>
          <w:numId w:val="1000"/>
        </w:numPr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pStyle w:val="Compact"/>
        <w:numPr>
          <w:ilvl w:val="0"/>
          <w:numId w:val="1046"/>
        </w:numPr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pStyle w:val="Compact"/>
        <w:numPr>
          <w:ilvl w:val="0"/>
          <w:numId w:val="1046"/>
        </w:numPr>
      </w:pPr>
      <w:r>
        <w:t xml:space="preserve">Monitorização / incidente / estado de saída</w:t>
      </w:r>
    </w:p>
    <w:bookmarkEnd w:id="125"/>
    <w:bookmarkStart w:id="127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pStyle w:val="Compact"/>
        <w:numPr>
          <w:ilvl w:val="0"/>
          <w:numId w:val="1047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pStyle w:val="Compact"/>
        <w:numPr>
          <w:ilvl w:val="0"/>
          <w:numId w:val="1047"/>
        </w:numPr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pStyle w:val="Compact"/>
        <w:numPr>
          <w:ilvl w:val="0"/>
          <w:numId w:val="1047"/>
        </w:numPr>
      </w:pPr>
      <w:r>
        <w:t xml:space="preserve">Listas das cadeias de abastecimento</w:t>
      </w:r>
    </w:p>
    <w:p>
      <w:pPr>
        <w:pStyle w:val="Compact"/>
        <w:numPr>
          <w:ilvl w:val="0"/>
          <w:numId w:val="1047"/>
        </w:numPr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26" w:name="revisão-da-garantia"/>
    <w:p>
      <w:pPr>
        <w:pStyle w:val="Heading2"/>
      </w:pPr>
      <w:r>
        <w:t xml:space="preserve">30.3 Revisão da garantia</w:t>
      </w:r>
    </w:p>
    <w:p>
      <w:pPr>
        <w:pStyle w:val="Compact"/>
        <w:numPr>
          <w:ilvl w:val="0"/>
          <w:numId w:val="1048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pStyle w:val="Compact"/>
        <w:numPr>
          <w:ilvl w:val="0"/>
          <w:numId w:val="1048"/>
        </w:numPr>
      </w:pPr>
      <w:r>
        <w:t xml:space="preserve">Gaps / action / reteste *                                                   </w:t>
      </w:r>
    </w:p>
    <w:bookmarkEnd w:id="126"/>
    <w:bookmarkEnd w:id="127"/>
    <w:bookmarkStart w:id="129" w:name="registro-de-busca-e-exceção"/>
    <w:p>
      <w:pPr>
        <w:pStyle w:val="Heading1"/>
      </w:pPr>
      <w:r>
        <w:t xml:space="preserve"># 30.4 Registro de busca e exceção</w:t>
      </w:r>
    </w:p>
    <w:p>
      <w:pPr>
        <w:pStyle w:val="Compact"/>
        <w:numPr>
          <w:ilvl w:val="0"/>
          <w:numId w:val="1049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pStyle w:val="Compact"/>
        <w:numPr>
          <w:ilvl w:val="0"/>
          <w:numId w:val="1049"/>
        </w:numPr>
      </w:pPr>
      <w:r>
        <w:t xml:space="preserve">Condição / população / evidência</w:t>
      </w:r>
    </w:p>
    <w:p>
      <w:pPr>
        <w:pStyle w:val="Compact"/>
        <w:numPr>
          <w:ilvl w:val="0"/>
          <w:numId w:val="1049"/>
        </w:numPr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pStyle w:val="Compact"/>
        <w:numPr>
          <w:ilvl w:val="0"/>
          <w:numId w:val="1049"/>
        </w:numPr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28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28"/>
    <w:bookmarkEnd w:id="129"/>
    <w:bookmarkStart w:id="131" w:name="glossário"/>
    <w:p>
      <w:pPr>
        <w:pStyle w:val="Heading1"/>
      </w:pPr>
      <w:r>
        <w:t xml:space="preserve"># 30.6 Glossário</w:t>
      </w:r>
    </w:p>
    <w:bookmarkStart w:id="130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30"/>
    <w:bookmarkEnd w:id="131"/>
    <w:bookmarkStart w:id="145" w:name="índice-de-assunto"/>
    <w:p>
      <w:pPr>
        <w:pStyle w:val="Heading1"/>
      </w:pPr>
      <w:r>
        <w:t xml:space="preserve"># 30.7 Índice de assunto</w:t>
      </w:r>
    </w:p>
    <w:bookmarkStart w:id="132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32"/>
    <w:bookmarkStart w:id="143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33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34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35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36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37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38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41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4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43"/>
    <w:bookmarkStart w:id="144" w:name="X3fc763f32871b302217f7620206116c0e53a941"/>
    <w:p>
      <w:pPr>
        <w:pStyle w:val="Heading2"/>
      </w:pPr>
      <w:r>
        <w:rPr>
          <w:b/>
          <w:bCs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https://csrc.nist.gov/Projects/cyber-supply-chain-risk-management/publications" TargetMode="External" /><Relationship Type="http://schemas.openxmlformats.org/officeDocument/2006/relationships/hyperlink" Id="rId136" Target="https://csrc.nist.gov/pubs/sp/1305/final" TargetMode="External" /><Relationship Type="http://schemas.openxmlformats.org/officeDocument/2006/relationships/hyperlink" Id="rId133" Target="https://csrc.nist.gov/pubs/sp/1326/final" TargetMode="External" /><Relationship Type="http://schemas.openxmlformats.org/officeDocument/2006/relationships/hyperlink" Id="rId135" Target="https://csrc.nist.gov/pubs/sp/800/161/r1/upd1/final" TargetMode="External" /><Relationship Type="http://schemas.openxmlformats.org/officeDocument/2006/relationships/hyperlink" Id="rId134" Target="https://csrc.nist.gov/pubs/sp/800/18/r2/final" TargetMode="External" /><Relationship Type="http://schemas.openxmlformats.org/officeDocument/2006/relationships/hyperlink" Id="rId74" Target="https://cyclonedx.org/" TargetMode="External" /><Relationship Type="http://schemas.openxmlformats.org/officeDocument/2006/relationships/hyperlink" Id="rId72" Target="https://dependencytrack.org/" TargetMode="External" /><Relationship Type="http://schemas.openxmlformats.org/officeDocument/2006/relationships/hyperlink" Id="rId78" Target="https://github.com/anchore/grype" TargetMode="External" /><Relationship Type="http://schemas.openxmlformats.org/officeDocument/2006/relationships/hyperlink" Id="rId75" Target="https://github.com/anchore/syft" TargetMode="External" /><Relationship Type="http://schemas.openxmlformats.org/officeDocument/2006/relationships/hyperlink" Id="rId85" Target="https://google.github.io/osv-scanner/" TargetMode="External" /><Relationship Type="http://schemas.openxmlformats.org/officeDocument/2006/relationships/hyperlink" Id="rId96" Target="https://greenbone.github.io/docs/latest/" TargetMode="External" /><Relationship Type="http://schemas.openxmlformats.org/officeDocument/2006/relationships/hyperlink" Id="rId84" Target="https://guac.sh/" TargetMode="External" /><Relationship Type="http://schemas.openxmlformats.org/officeDocument/2006/relationships/hyperlink" Id="rId70" Target="https://intuitem.github.io/ciso-assistant-community/" TargetMode="External" /><Relationship Type="http://schemas.openxmlformats.org/officeDocument/2006/relationships/hyperlink" Id="rId98" Target="https://nmap.org/" TargetMode="External" /><Relationship Type="http://schemas.openxmlformats.org/officeDocument/2006/relationships/hyperlink" Id="rId82" Target="https://scorecard.dev/" TargetMode="External" /><Relationship Type="http://schemas.openxmlformats.org/officeDocument/2006/relationships/hyperlink" Id="rId141" Target="https://scvs.owasp.org/" TargetMode="External" /><Relationship Type="http://schemas.openxmlformats.org/officeDocument/2006/relationships/hyperlink" Id="rId80" Target="https://trivy.dev/" TargetMode="External" /><Relationship Type="http://schemas.openxmlformats.org/officeDocument/2006/relationships/hyperlink" Id="rId90" Target="https://wazuh.com/" TargetMode="External" /><Relationship Type="http://schemas.openxmlformats.org/officeDocument/2006/relationships/hyperlink" Id="rId142" Target="https://www.bestpractices.dev/" TargetMode="External" /><Relationship Type="http://schemas.openxmlformats.org/officeDocument/2006/relationships/hyperlink" Id="rId139" Target="https://www.cisa.gov/ict-supply-chain-resource-library" TargetMode="External" /><Relationship Type="http://schemas.openxmlformats.org/officeDocument/2006/relationships/hyperlink" Id="rId140" Target="https://www.cisa.gov/resources-tools/groups/ict-supply-chain-risk-management-task-force" TargetMode="External" /><Relationship Type="http://schemas.openxmlformats.org/officeDocument/2006/relationships/hyperlink" Id="rId88" Target="https://www.defectdojo.org/" TargetMode="External" /><Relationship Type="http://schemas.openxmlformats.org/officeDocument/2006/relationships/hyperlink" Id="rId92" Target="https://www.keycloak.org/" TargetMode="External" /><Relationship Type="http://schemas.openxmlformats.org/officeDocument/2006/relationships/hyperlink" Id="rId137" Target="https://www.nist.gov/cyberframework" TargetMode="External" /><Relationship Type="http://schemas.openxmlformats.org/officeDocument/2006/relationships/hyperlink" Id="rId100" Target="https://www.openpolicyagent.org/" TargetMode="External" /><Relationship Type="http://schemas.openxmlformats.org/officeDocument/2006/relationships/hyperlink" Id="rId9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csrc.nist.gov/Projects/cyber-supply-chain-risk-management/publications" TargetMode="External" /><Relationship Type="http://schemas.openxmlformats.org/officeDocument/2006/relationships/hyperlink" Id="rId136" Target="https://csrc.nist.gov/pubs/sp/1305/final" TargetMode="External" /><Relationship Type="http://schemas.openxmlformats.org/officeDocument/2006/relationships/hyperlink" Id="rId133" Target="https://csrc.nist.gov/pubs/sp/1326/final" TargetMode="External" /><Relationship Type="http://schemas.openxmlformats.org/officeDocument/2006/relationships/hyperlink" Id="rId135" Target="https://csrc.nist.gov/pubs/sp/800/161/r1/upd1/final" TargetMode="External" /><Relationship Type="http://schemas.openxmlformats.org/officeDocument/2006/relationships/hyperlink" Id="rId134" Target="https://csrc.nist.gov/pubs/sp/800/18/r2/final" TargetMode="External" /><Relationship Type="http://schemas.openxmlformats.org/officeDocument/2006/relationships/hyperlink" Id="rId74" Target="https://cyclonedx.org/" TargetMode="External" /><Relationship Type="http://schemas.openxmlformats.org/officeDocument/2006/relationships/hyperlink" Id="rId72" Target="https://dependencytrack.org/" TargetMode="External" /><Relationship Type="http://schemas.openxmlformats.org/officeDocument/2006/relationships/hyperlink" Id="rId78" Target="https://github.com/anchore/grype" TargetMode="External" /><Relationship Type="http://schemas.openxmlformats.org/officeDocument/2006/relationships/hyperlink" Id="rId75" Target="https://github.com/anchore/syft" TargetMode="External" /><Relationship Type="http://schemas.openxmlformats.org/officeDocument/2006/relationships/hyperlink" Id="rId85" Target="https://google.github.io/osv-scanner/" TargetMode="External" /><Relationship Type="http://schemas.openxmlformats.org/officeDocument/2006/relationships/hyperlink" Id="rId96" Target="https://greenbone.github.io/docs/latest/" TargetMode="External" /><Relationship Type="http://schemas.openxmlformats.org/officeDocument/2006/relationships/hyperlink" Id="rId84" Target="https://guac.sh/" TargetMode="External" /><Relationship Type="http://schemas.openxmlformats.org/officeDocument/2006/relationships/hyperlink" Id="rId70" Target="https://intuitem.github.io/ciso-assistant-community/" TargetMode="External" /><Relationship Type="http://schemas.openxmlformats.org/officeDocument/2006/relationships/hyperlink" Id="rId98" Target="https://nmap.org/" TargetMode="External" /><Relationship Type="http://schemas.openxmlformats.org/officeDocument/2006/relationships/hyperlink" Id="rId82" Target="https://scorecard.dev/" TargetMode="External" /><Relationship Type="http://schemas.openxmlformats.org/officeDocument/2006/relationships/hyperlink" Id="rId141" Target="https://scvs.owasp.org/" TargetMode="External" /><Relationship Type="http://schemas.openxmlformats.org/officeDocument/2006/relationships/hyperlink" Id="rId80" Target="https://trivy.dev/" TargetMode="External" /><Relationship Type="http://schemas.openxmlformats.org/officeDocument/2006/relationships/hyperlink" Id="rId90" Target="https://wazuh.com/" TargetMode="External" /><Relationship Type="http://schemas.openxmlformats.org/officeDocument/2006/relationships/hyperlink" Id="rId142" Target="https://www.bestpractices.dev/" TargetMode="External" /><Relationship Type="http://schemas.openxmlformats.org/officeDocument/2006/relationships/hyperlink" Id="rId139" Target="https://www.cisa.gov/ict-supply-chain-resource-library" TargetMode="External" /><Relationship Type="http://schemas.openxmlformats.org/officeDocument/2006/relationships/hyperlink" Id="rId140" Target="https://www.cisa.gov/resources-tools/groups/ict-supply-chain-risk-management-task-force" TargetMode="External" /><Relationship Type="http://schemas.openxmlformats.org/officeDocument/2006/relationships/hyperlink" Id="rId88" Target="https://www.defectdojo.org/" TargetMode="External" /><Relationship Type="http://schemas.openxmlformats.org/officeDocument/2006/relationships/hyperlink" Id="rId92" Target="https://www.keycloak.org/" TargetMode="External" /><Relationship Type="http://schemas.openxmlformats.org/officeDocument/2006/relationships/hyperlink" Id="rId137" Target="https://www.nist.gov/cyberframework" TargetMode="External" /><Relationship Type="http://schemas.openxmlformats.org/officeDocument/2006/relationships/hyperlink" Id="rId100" Target="https://www.openpolicyagent.org/" TargetMode="External" /><Relationship Type="http://schemas.openxmlformats.org/officeDocument/2006/relationships/hyperlink" Id="rId9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2026-07-28T20:35:16Z</dcterms:created>
  <dcterms:modified xsi:type="dcterms:W3CDTF">2026-07-28T20:35:16Z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