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22 — Implementação controlada de segurança em nuvem</w:t>
      </w:r>
    </w:p>
    <w:p>
      <w:r>
        <w:rPr>
          <w:b/>
        </w:rPr>
        <w:t>Localização controlada pt-BR — desenvolvimento</w:t>
      </w:r>
    </w:p>
    <w:p>
      <w:pPr>
        <w:spacing w:after="120"/>
      </w:pPr>
      <w:r>
        <w:t>**Ordem da série:** 22</w:t>
      </w:r>
    </w:p>
    <w:p>
      <w:pPr>
        <w:spacing w:after="120"/>
      </w:pPr>
      <w:r>
        <w:t>**Fonte inglesa vinculante:** blob `a056997ce359c3a37acc5b931e5f808cc09921be`</w:t>
      </w:r>
    </w:p>
    <w:p>
      <w:pPr>
        <w:spacing w:after="120"/>
      </w:pPr>
      <w:r>
        <w:t>**Estado de referência principal:** Cloud Security Alliance Cloud Controls Matrix (CCM) v4.1</w:t>
      </w:r>
    </w:p>
    <w:p>
      <w:pPr>
        <w:spacing w:after="120"/>
      </w:pPr>
      <w:r>
        <w:t>**Limite:** Guia de implementação original. Orientação nativa de provedores é evidência de implementação e não substitui leis aplicáveis, normas independentes nem a intenção dos controles CSA. Crosswalks são mapeamentos, não equivalências. Esta tradução do projeto é não oficial e não implica registro, atestação ou certificação CSA STAR.</w:t>
      </w:r>
    </w:p>
    <w:p>
      <w:pPr>
        <w:pStyle w:val="Heading2"/>
      </w:pPr>
      <w:r>
        <w:t>1. Governança de nuvem e modelo operacional</w:t>
      </w:r>
    </w:p>
    <w:p>
      <w:pPr>
        <w:spacing w:after="120"/>
      </w:pPr>
      <w:r>
        <w:t>Definir responsabilização executiva, proprietários de segurança, responsabilidades de plataforma e aplicações, aceitação de risco, autoridade de arquitetura, onboarding de serviços e hierarquia de políticas. Evidências: carta de governança, RACI, padrões, exceções e decisões de gestão.</w:t>
      </w:r>
    </w:p>
    <w:p>
      <w:pPr>
        <w:pStyle w:val="Heading2"/>
      </w:pPr>
      <w:r>
        <w:t>2. Escopo, tenancy, contas, assinaturas, projetos e landing zones</w:t>
      </w:r>
    </w:p>
    <w:p>
      <w:pPr>
        <w:spacing w:after="120"/>
      </w:pPr>
      <w:r>
        <w:t>Manter escopo autoritativo de organizações, tenants, contas, assinaturas, projetos, regiões, ambientes e proprietários. Usar provisionamento e tagging governados. Evidências: inventários, hierarquias, definições de landing zone e reconciliação com APIs do provedor.</w:t>
      </w:r>
    </w:p>
    <w:p>
      <w:pPr>
        <w:pStyle w:val="Heading2"/>
      </w:pPr>
      <w:r>
        <w:t>3. Responsabilidade compartilhada e alocação contratual</w:t>
      </w:r>
    </w:p>
    <w:p>
      <w:pPr>
        <w:spacing w:after="120"/>
      </w:pPr>
      <w:r>
        <w:t>Documentar responsabilidades conforme modelo de serviço, implantação, capacidades, contratos e serviços gerenciados. Evidências: matrizes, cláusulas, declarações de controles, obrigações do cliente, lacunas e gatilhos de reavaliação.</w:t>
      </w:r>
    </w:p>
    <w:p>
      <w:pPr>
        <w:pStyle w:val="Heading2"/>
      </w:pPr>
      <w:r>
        <w:t>4. Avaliação de risco e registros de decisão de arquitetura</w:t>
      </w:r>
    </w:p>
    <w:p>
      <w:pPr>
        <w:spacing w:after="120"/>
      </w:pPr>
      <w:r>
        <w:t>Avaliar riscos considerando sensibilidade, criticidade, caminhos de identidade, exposição, dependência do provedor, concentração regional, cadeia de suprimentos e resiliência. Evidências: avaliações, modelos de ameaça, ADRs, premissas, risco residual e aprovações.</w:t>
      </w:r>
    </w:p>
    <w:p>
      <w:pPr>
        <w:pStyle w:val="Heading2"/>
      </w:pPr>
      <w:r>
        <w:t>5. Federação de identidade, autenticação e acesso privilegiado</w:t>
      </w:r>
    </w:p>
    <w:p>
      <w:pPr>
        <w:spacing w:after="120"/>
      </w:pPr>
      <w:r>
        <w:t>Centralizar identidade quando viável, exigir autenticação forte, limitar privilégios e proteger identidades de emergência. Evidências: federação, MFA, funções privilegiadas, elevações, revisões e testes de break-glass.</w:t>
      </w:r>
    </w:p>
    <w:p>
      <w:pPr>
        <w:pStyle w:val="Heading2"/>
      </w:pPr>
      <w:r>
        <w:t>6. Identidade de workloads e principais de serviço</w:t>
      </w:r>
    </w:p>
    <w:p>
      <w:pPr>
        <w:spacing w:after="120"/>
      </w:pPr>
      <w:r>
        <w:t>Governar contas de serviço, identidades gerenciadas, federação de workloads, principais, certificados e credenciais automatizadas. Preferir credenciais de curta duração. Evidências: inventário, propriedade, permissões, idade, políticas de confiança e rotação.</w:t>
      </w:r>
    </w:p>
    <w:p>
      <w:pPr>
        <w:pStyle w:val="Heading2"/>
      </w:pPr>
      <w:r>
        <w:t>7. Arquitetura de rede, segmentação, ingresso e egresso</w:t>
      </w:r>
    </w:p>
    <w:p>
      <w:pPr>
        <w:spacing w:after="120"/>
      </w:pPr>
      <w:r>
        <w:t>Definir padrões aprovados, segmentação, roteamento, ingresso da Internet, egresso, conectividade privada, DNS e acesso administrativo. Evidências: diagramas, matrizes de fluxo, regras, tabelas de rotas, controles de egresso, testes e exceções.</w:t>
      </w:r>
    </w:p>
    <w:p>
      <w:pPr>
        <w:pStyle w:val="Heading2"/>
      </w:pPr>
      <w:r>
        <w:t>8. Padrões Zero Trust e confiança serviço a serviço</w:t>
      </w:r>
    </w:p>
    <w:p>
      <w:pPr>
        <w:spacing w:after="120"/>
      </w:pPr>
      <w:r>
        <w:t>Autenticar e autorizar conexões por identidade verificada, contexto e privilégio mínimo, e não apenas localização de rede. Evidências: arquitetura de confiança, identidades de serviço, políticas, certificados, testes e acessos negados.</w:t>
      </w:r>
    </w:p>
    <w:p>
      <w:pPr>
        <w:pStyle w:val="Heading2"/>
      </w:pPr>
      <w:r>
        <w:t>9. Classificação, residência, soberania e ciclo de vida de dados</w:t>
      </w:r>
    </w:p>
    <w:p>
      <w:pPr>
        <w:spacing w:after="120"/>
      </w:pPr>
      <w:r>
        <w:t>Classificar dados e mapear criação, armazenamento, processamento, replicação, backup, transferência e exclusão. Evidências: inventários, classificação, regiões, rotas de transferência, retenção e decisões de localização.</w:t>
      </w:r>
    </w:p>
    <w:p>
      <w:pPr>
        <w:pStyle w:val="Heading2"/>
      </w:pPr>
      <w:r>
        <w:t>10. Criptografia, gestão de chaves, HSM e segredos</w:t>
      </w:r>
    </w:p>
    <w:p>
      <w:pPr>
        <w:spacing w:after="120"/>
      </w:pPr>
      <w:r>
        <w:t>Definir criptografia em repouso e trânsito, propriedade e rotação de chaves, KMS/HSM, segregação de funções e gestão de segredos. Evidências: inventários, políticas, configurações, cofres, rotações, logs e exceções.</w:t>
      </w:r>
    </w:p>
    <w:p>
      <w:pPr>
        <w:pStyle w:val="Heading2"/>
      </w:pPr>
      <w:r>
        <w:t>11. Logs, telemetria, trilhas de auditoria e integridade temporal</w:t>
      </w:r>
    </w:p>
    <w:p>
      <w:pPr>
        <w:spacing w:after="120"/>
      </w:pPr>
      <w:r>
        <w:t>Habilitar eventos administrativos, identidade, rede, dados, workloads e plataforma; proteger logs e manter retenção e referência temporal consistentes. Evidências: padrão, fontes, saúde da ingestão, retenção, destinos protegidos e acessos.</w:t>
      </w:r>
    </w:p>
    <w:p>
      <w:pPr>
        <w:pStyle w:val="Heading2"/>
      </w:pPr>
      <w:r>
        <w:t>12. Engenharia de detecção, monitoramento de ameaças e serviços nativos</w:t>
      </w:r>
    </w:p>
    <w:p>
      <w:pPr>
        <w:spacing w:after="120"/>
      </w:pPr>
      <w:r>
        <w:t>Desenvolver detecções para abuso de credenciais, escalada, APIs suspeitas, recursos expostos, exfiltração e alterações de políticas. Evidências: regras, cobertura, testes, investigações, tuning e métricas.</w:t>
      </w:r>
    </w:p>
    <w:p>
      <w:pPr>
        <w:pStyle w:val="Heading2"/>
      </w:pPr>
      <w:r>
        <w:t>13. Baselines de configuração e policy as code</w:t>
      </w:r>
    </w:p>
    <w:p>
      <w:pPr>
        <w:spacing w:after="120"/>
      </w:pPr>
      <w:r>
        <w:t>Definir configurações seguras e avaliá-las ou aplicá-las por mecanismos de política quando apropriado. Evidências: baselines, repositórios, atribuições, resultados, bloqueios, exceções e remediação de drift.</w:t>
      </w:r>
    </w:p>
    <w:p>
      <w:pPr>
        <w:pStyle w:val="Heading2"/>
      </w:pPr>
      <w:r>
        <w:t>14. Governança de infraestrutura como código e controle de drift</w:t>
      </w:r>
    </w:p>
    <w:p>
      <w:pPr>
        <w:spacing w:after="120"/>
      </w:pPr>
      <w:r>
        <w:t>Gerenciar infraestrutura por repositórios controlados, revisão, testes, aprovações e pipelines protegidos. Evidências: repositórios IaC, revisões, planos, resultados, relatórios de drift e reconciliação.</w:t>
      </w:r>
    </w:p>
    <w:p>
      <w:pPr>
        <w:pStyle w:val="Heading2"/>
      </w:pPr>
      <w:r>
        <w:t>15. Vulnerabilidades, patches, imagens e dependências</w:t>
      </w:r>
    </w:p>
    <w:p>
      <w:pPr>
        <w:spacing w:after="120"/>
      </w:pPr>
      <w:r>
        <w:t>Inventariar e priorizar vulnerabilidades conforme exposição, explorabilidade, criticidade e responsabilidade do provedor. Evidências: cobertura, achados, patches, alertas, tickets, exceções, retestes e avisos.</w:t>
      </w:r>
    </w:p>
    <w:p>
      <w:pPr>
        <w:pStyle w:val="Heading2"/>
      </w:pPr>
      <w:r>
        <w:t>16. Segurança de contêineres, Kubernetes e orquestração</w:t>
      </w:r>
    </w:p>
    <w:p>
      <w:pPr>
        <w:spacing w:after="120"/>
      </w:pPr>
      <w:r>
        <w:t>Proteger clusters, planos de controle, nós, registries, admissão, RBAC, namespaces, políticas de rede, segredos e imagens. Evidências: inventários, baselines, políticas, proveniência de imagens, revisões e alertas.</w:t>
      </w:r>
    </w:p>
    <w:p>
      <w:pPr>
        <w:pStyle w:val="Heading2"/>
      </w:pPr>
      <w:r>
        <w:t>17. Segurança serverless, PaaS, serviços gerenciados e APIs</w:t>
      </w:r>
    </w:p>
    <w:p>
      <w:pPr>
        <w:spacing w:after="120"/>
      </w:pPr>
      <w:r>
        <w:t>Aplicar controles específicos a funções, bancos gerenciados, filas, analytics, IA, APIs e outros PaaS. Evidências: inventários, políticas de API, configurações, logs, dados e decisões de risco.</w:t>
      </w:r>
    </w:p>
    <w:p>
      <w:pPr>
        <w:pStyle w:val="Heading2"/>
      </w:pPr>
      <w:r>
        <w:t>18. Segurança SaaS e garantia de configuração do tenant</w:t>
      </w:r>
    </w:p>
    <w:p>
      <w:pPr>
        <w:spacing w:after="120"/>
      </w:pPr>
      <w:r>
        <w:t>Governar administradores, federação, MFA, compartilhamento, colaboração externa, retenção, integrações e logs. Evidências: inventário SaaS, revisões de funções, avaliações, apps conectados e remediação.</w:t>
      </w:r>
    </w:p>
    <w:p>
      <w:pPr>
        <w:pStyle w:val="Heading2"/>
      </w:pPr>
      <w:r>
        <w:t>19. DevSecOps, CI/CD, assinatura e integridade de build</w:t>
      </w:r>
    </w:p>
    <w:p>
      <w:pPr>
        <w:spacing w:after="120"/>
      </w:pPr>
      <w:r>
        <w:t>Proteger repositórios, runners, sistemas de build, identidades de implantação, artefatos e registries. Evidências: pipelines, revisões de acesso, scans, artefatos assinados, atestações de proveniência e releases.</w:t>
      </w:r>
    </w:p>
    <w:p>
      <w:pPr>
        <w:pStyle w:val="Heading2"/>
      </w:pPr>
      <w:r>
        <w:t>20. Backup, recuperação, imutabilidade e resiliência a ransomware</w:t>
      </w:r>
    </w:p>
    <w:p>
      <w:pPr>
        <w:spacing w:after="120"/>
      </w:pPr>
      <w:r>
        <w:t>Definir cobertura protegida de backup, isolamento, imutabilidade quando apropriado, retenção e restauração. Evidências: políticas, inventários, testes de restauração, configurações, acessos e tempos observados.</w:t>
      </w:r>
    </w:p>
    <w:p>
      <w:pPr>
        <w:pStyle w:val="Heading2"/>
      </w:pPr>
      <w:r>
        <w:t>21. Disponibilidade, resiliência regional e domínios de falha</w:t>
      </w:r>
    </w:p>
    <w:p>
      <w:pPr>
        <w:spacing w:after="120"/>
      </w:pPr>
      <w:r>
        <w:t>Projetar segundo requisitos de resiliência entre zonas, regiões, serviços, identidade, redes, DNS, dados e fornecedores. Evidências: arquitetura, dependências, testes de failover, capacidade, limites e ações corretivas.</w:t>
      </w:r>
    </w:p>
    <w:p>
      <w:pPr>
        <w:pStyle w:val="Heading2"/>
      </w:pPr>
      <w:r>
        <w:t>22. Resposta a incidentes, forense e preservação de evidências em nuvem</w:t>
      </w:r>
    </w:p>
    <w:p>
      <w:pPr>
        <w:spacing w:after="120"/>
      </w:pPr>
      <w:r>
        <w:t>Preparar playbooks para comprometimento de identidade, exposição de dados, workloads maliciosos, ransomware e abuso do plano de controle. Evidências: playbooks, cronologias, snapshots, logs, casos com provedor, exercícios e lições.</w:t>
      </w:r>
    </w:p>
    <w:p>
      <w:pPr>
        <w:pStyle w:val="Heading2"/>
      </w:pPr>
      <w:r>
        <w:t>23. Inventário, descoberta, propriedade e tagging de ativos</w:t>
      </w:r>
    </w:p>
    <w:p>
      <w:pPr>
        <w:spacing w:after="120"/>
      </w:pPr>
      <w:r>
        <w:t>Identificar continuamente recursos, ativos efêmeros, endpoints públicos, dados, chaves, workloads e integrações. Evidências: feeds de inventário, conformidade de tags, recursos órfãos, atestações e limpeza.</w:t>
      </w:r>
    </w:p>
    <w:p>
      <w:pPr>
        <w:pStyle w:val="Heading2"/>
      </w:pPr>
      <w:r>
        <w:t>24. Risco de terceiros, marketplaces e serviços gerenciados</w:t>
      </w:r>
    </w:p>
    <w:p>
      <w:pPr>
        <w:spacing w:after="120"/>
      </w:pPr>
      <w:r>
        <w:t>Governar imagens de marketplace, SaaS, MSPs, APIs e componentes externos. Evidências: registro, avaliações, permissões, contratos, monitoramento e encerramento.</w:t>
      </w:r>
    </w:p>
    <w:p>
      <w:pPr>
        <w:pStyle w:val="Heading2"/>
      </w:pPr>
      <w:r>
        <w:t>25. Garantia de fornecedores cloud e evidência contratual</w:t>
      </w:r>
    </w:p>
    <w:p>
      <w:pPr>
        <w:spacing w:after="120"/>
      </w:pPr>
      <w:r>
        <w:t>Coletar asseguração proporcional ao risco e validar escopo e período de relatórios, certificações e compromissos. Evidências: relatórios, mapeamentos, contratos, achados, bridge letters e decisões.</w:t>
      </w:r>
    </w:p>
    <w:p>
      <w:pPr>
        <w:pStyle w:val="Heading2"/>
      </w:pPr>
      <w:r>
        <w:t>26. Privacidade, registros, retenção e exclusão</w:t>
      </w:r>
    </w:p>
    <w:p>
      <w:pPr>
        <w:spacing w:after="120"/>
      </w:pPr>
      <w:r>
        <w:t>Configurar serviços para apoiar obrigações aplicáveis de privacidade e records sem confundir capacidade técnica com determinação jurídica. Evidências: retenção, exclusão, legal holds, avaliações e testes de ciclo de vida.</w:t>
      </w:r>
    </w:p>
    <w:p>
      <w:pPr>
        <w:pStyle w:val="Heading2"/>
      </w:pPr>
      <w:r>
        <w:t>27. Custos, capacidade, abuso e governança de recursos</w:t>
      </w:r>
    </w:p>
    <w:p>
      <w:pPr>
        <w:spacing w:after="120"/>
      </w:pPr>
      <w:r>
        <w:t>Tratar custos inesperados, exaustão, abuso de quotas, criptomineração e provisionamento descontrolado como sinais quando relevante. Evidências: limites, alertas, capacidade, investigações e ações.</w:t>
      </w:r>
    </w:p>
    <w:p>
      <w:pPr>
        <w:pStyle w:val="Heading2"/>
      </w:pPr>
      <w:r>
        <w:t>28. Consistência de controles multi-cloud e híbridos</w:t>
      </w:r>
    </w:p>
    <w:p>
      <w:pPr>
        <w:spacing w:after="120"/>
      </w:pPr>
      <w:r>
        <w:t>Definir controles corporativos e específicos por provedor sem esconder diferenças materiais. Evidências: matriz cross-cloud, padrões, desvios, cobertura, lacunas e planos de migração.</w:t>
      </w:r>
    </w:p>
    <w:p>
      <w:pPr>
        <w:pStyle w:val="Heading2"/>
      </w:pPr>
      <w:r>
        <w:t>29. Métricas, saúde de controles, monitoramento contínuo e exceções</w:t>
      </w:r>
    </w:p>
    <w:p>
      <w:pPr>
        <w:spacing w:after="120"/>
      </w:pPr>
      <w:r>
        <w:t>Medir exposição privilegiada, recursos públicos, violações, lacunas de logging, risco sem patch, identidades obsoletas, falhas de backup e idade de exceções. Evidências: dashboards, definições, limites, tendências e remediação.</w:t>
      </w:r>
    </w:p>
    <w:p>
      <w:pPr>
        <w:pStyle w:val="Heading2"/>
      </w:pPr>
      <w:r>
        <w:t>30. Avaliação, asseguração, testes e amostragem de evidências</w:t>
      </w:r>
    </w:p>
    <w:p>
      <w:pPr>
        <w:spacing w:after="120"/>
      </w:pPr>
      <w:r>
        <w:t>Definir escopo, amostragem, validação técnica, revisão de configuração, testes e interfaces de avaliadores. Automação não cria certificação nem substitui julgamento profissional externo. Evidências: planos, amostras, workpapers, achados e retestes.</w:t>
      </w:r>
    </w:p>
    <w:p>
      <w:pPr>
        <w:pStyle w:val="Heading2"/>
      </w:pPr>
      <w:r>
        <w:t>31. Migração, modernização, saída, portabilidade e descomissionamento</w:t>
      </w:r>
    </w:p>
    <w:p>
      <w:pPr>
        <w:spacing w:after="120"/>
      </w:pPr>
      <w:r>
        <w:t>Planejar migrações e saídas seguras considerando dados, identidades, chaves, configurações, dependências, evidências e exclusão. Evidências: planos, testes de portabilidade, reconciliação, confirmação de exclusão e acessos revogados.</w:t>
      </w:r>
    </w:p>
    <w:p>
      <w:pPr>
        <w:pStyle w:val="Heading2"/>
      </w:pPr>
      <w:r>
        <w:t>32. Pacote de evidências, roadmap, mudança de fontes e melhoria contínua</w:t>
      </w:r>
    </w:p>
    <w:p>
      <w:pPr>
        <w:spacing w:after="120"/>
      </w:pPr>
      <w:r>
        <w:t>Registrar proprietário, escopo, procedimento, frequência, evidência, método de teste, achados, remediação e reavaliação. Revalidar versão CCM/CAIQ, transições, mapeamentos, orientação relevante e dependências STAR no release. Exigir paridade trilíngue, seis binários reproduzíveis, QA de render/acessibilidade, SHA-256, segurança de workflows, staging exato, predecessor publicado e reconciliação dos registros.</w:t>
      </w:r>
    </w:p>
    <w:p>
      <w:pPr>
        <w:pStyle w:val="Heading2"/>
      </w:pPr>
      <w:r>
        <w:t>Limite de liberação controlada</w:t>
      </w:r>
    </w:p>
    <w:p>
      <w:pPr>
        <w:spacing w:after="120"/>
      </w:pPr>
      <w:r>
        <w:t>Esta localização não estabelece conformidade, equivalência jurídica, certificação de provedor nem status CSA STAR. CCM v4.1 é o estado de referência CSA registrado pelo gate de fontes e deve ser revalidado no release. Pela regra canônica, um candidato limpo com gates objetivos verdes e predecessor publicado prossegue sob autorização permanente salvo uma questão substantiva específica que exija julgamento especializado não determinístico.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