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2"/>
    <w:bookmarkStart w:id="43"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0"/>
        </w:numPr>
      </w:pPr>
      <w:r>
        <w:t xml:space="preserve">¿El IG elegido sigue siendo apropiado para datos sensibles, servicios críticos, exposición a amenazas, obligaciones, escala y habilidades?</w:t>
      </w:r>
    </w:p>
    <w:p>
      <w:pPr>
        <w:numPr>
          <w:ilvl w:val="0"/>
          <w:numId w:val="1010"/>
        </w:numPr>
      </w:pPr>
      <w:r>
        <w:t xml:space="preserve">¿Están las poblaciones centrales completas, actuales, de propiedad y reconciliadas con el descubrimiento independiente?</w:t>
      </w:r>
    </w:p>
    <w:p>
      <w:pPr>
        <w:numPr>
          <w:ilvl w:val="0"/>
          <w:numId w:val="1010"/>
        </w:numPr>
      </w:pPr>
      <w:r>
        <w:t xml:space="preserve">¿Qué Salvaguardias IG1 tienen cobertura incompleta, revisión atrasada, datos de entrada no fiables o excepciones de repetición?</w:t>
      </w:r>
    </w:p>
    <w:p>
      <w:pPr>
        <w:numPr>
          <w:ilvl w:val="0"/>
          <w:numId w:val="1010"/>
        </w:numPr>
      </w:pPr>
      <w:r>
        <w:t xml:space="preserve">¿Se han intensificado los accesos administrativos, los sistemas expuestos externamente, los programas informáticos no respaldados, las vulnerabilidades críticas y los fallos de recuperación?</w:t>
      </w:r>
    </w:p>
    <w:p>
      <w:pPr>
        <w:numPr>
          <w:ilvl w:val="0"/>
          <w:numId w:val="1010"/>
        </w:numPr>
      </w:pPr>
      <w:r>
        <w:t xml:space="preserve">¿Las alertas resultan en investigación y respuesta, o sólo en el volumen de panel?</w:t>
      </w:r>
    </w:p>
    <w:p>
      <w:pPr>
        <w:numPr>
          <w:ilvl w:val="0"/>
          <w:numId w:val="1010"/>
        </w:numPr>
      </w:pPr>
      <w:r>
        <w:t xml:space="preserve">¿Se entienden las responsabilidades de los proveedores de servicios, las pruebas, las obligaciones de incidentes, los subcontratistas y los planes de salida?</w:t>
      </w:r>
    </w:p>
    <w:p>
      <w:pPr>
        <w:numPr>
          <w:ilvl w:val="0"/>
          <w:numId w:val="1010"/>
        </w:numPr>
      </w:pPr>
      <w:r>
        <w:t xml:space="preserve">¿Se autorizan pruebas de penetración y ejercicios de forma segura, con un alcance adecuado, realizados independientemente cuando sea necesario y seguidos a través de la prueba?</w:t>
      </w:r>
    </w:p>
    <w:p>
      <w:pPr>
        <w:numPr>
          <w:ilvl w:val="0"/>
          <w:numId w:val="1010"/>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43"/>
    <w:bookmarkStart w:id="45"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44" w:name="típico-trabajo-junior"/>
    <w:p>
      <w:pPr>
        <w:pStyle w:val="Heading2"/>
      </w:pPr>
      <w:r>
        <w:t xml:space="preserve">26.1 Típico trabajo junior</w:t>
      </w:r>
    </w:p>
    <w:p>
      <w:pPr>
        <w:numPr>
          <w:ilvl w:val="0"/>
          <w:numId w:val="1011"/>
        </w:numPr>
      </w:pPr>
      <w:r>
        <w:t xml:space="preserve">Mantener inventarios de activos, software, datos, cuentas, sistemas de red, proveedores, aplicaciones, hallazgos y pruebas.</w:t>
      </w:r>
    </w:p>
    <w:p>
      <w:pPr>
        <w:numPr>
          <w:ilvl w:val="0"/>
          <w:numId w:val="1011"/>
        </w:numPr>
      </w:pPr>
      <w:r>
        <w:t xml:space="preserve">Reunir pruebas sin cambiar los registros de fuentes y validar la integridad de la población.</w:t>
      </w:r>
    </w:p>
    <w:p>
      <w:pPr>
        <w:numPr>
          <w:ilvl w:val="0"/>
          <w:numId w:val="1011"/>
        </w:numPr>
      </w:pPr>
      <w:r>
        <w:t xml:space="preserve">Mapa Salvaguardias a propietarios, sistemas, procedimientos, configuración, evidencia, métricas, excepciones y acciones.</w:t>
      </w:r>
    </w:p>
    <w:p>
      <w:pPr>
        <w:numPr>
          <w:ilvl w:val="0"/>
          <w:numId w:val="1011"/>
        </w:numPr>
      </w:pPr>
      <w:r>
        <w:t xml:space="preserve">Ejecute las herramientas autorizadas de descubrimiento, configuración, vulnerabilidad, registro o seguridad de aplicaciones bajo procedimientos aprobados.</w:t>
      </w:r>
    </w:p>
    <w:p>
      <w:pPr>
        <w:numPr>
          <w:ilvl w:val="0"/>
          <w:numId w:val="1011"/>
        </w:numPr>
      </w:pPr>
      <w:r>
        <w:t xml:space="preserve">Calcular la cobertura y las métricas de excepción utilizando la estructura de evaluación oficial.</w:t>
      </w:r>
    </w:p>
    <w:p>
      <w:pPr>
        <w:numPr>
          <w:ilvl w:val="0"/>
          <w:numId w:val="1011"/>
        </w:numPr>
      </w:pPr>
      <w:r>
        <w:t xml:space="preserve">Seguimiento de software no compatible, activos no autorizados, problemas de acceso, vulnerabilidades, copias de seguridad fallidas, lagunas de alerta y hallazgos de proveedores a través de la prueba.</w:t>
      </w:r>
    </w:p>
    <w:p>
      <w:pPr>
        <w:numPr>
          <w:ilvl w:val="0"/>
          <w:numId w:val="1011"/>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44"/>
    <w:bookmarkEnd w:id="45"/>
    <w:bookmarkStart w:id="55"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2"/>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3"/>
        </w:numPr>
      </w:pPr>
      <w:r>
        <w:t xml:space="preserve">Crear una compañía ficticia de 50 personas con laptops, servidores, servicios en la nube, una aplicación web, personal remoto y cinco proveedores.</w:t>
      </w:r>
    </w:p>
    <w:p>
      <w:pPr>
        <w:numPr>
          <w:ilvl w:val="0"/>
          <w:numId w:val="1013"/>
        </w:numPr>
      </w:pPr>
      <w:r>
        <w:t xml:space="preserve">Seleccione IG1 y documente tres adiciones basadas en el riesgo de IG2 o IG3.</w:t>
      </w:r>
    </w:p>
    <w:p>
      <w:pPr>
        <w:numPr>
          <w:ilvl w:val="0"/>
          <w:numId w:val="1013"/>
        </w:numPr>
      </w:pPr>
      <w:r>
        <w:t xml:space="preserve">Construir inventarios de activos, software, datos, cuenta, sistema de autenticación, red, proveedor, aplicación y fuente de registro.</w:t>
      </w:r>
    </w:p>
    <w:p>
      <w:pPr>
        <w:numPr>
          <w:ilvl w:val="0"/>
          <w:numId w:val="1013"/>
        </w:numPr>
      </w:pPr>
      <w:r>
        <w:t xml:space="preserve">Use Nmap y osquery en un laboratorio aislado para conciliar los inventarios de activos y software.</w:t>
      </w:r>
    </w:p>
    <w:p>
      <w:pPr>
        <w:numPr>
          <w:ilvl w:val="0"/>
          <w:numId w:val="1013"/>
        </w:numPr>
      </w:pPr>
      <w:r>
        <w:t xml:space="preserve">Utiliza OpenSCAP o Lynis en un host de laboratorio; conclusiones de configuración de documentos, excepciones, correcciones y reevaluación.</w:t>
      </w:r>
    </w:p>
    <w:p>
      <w:pPr>
        <w:numPr>
          <w:ilvl w:val="0"/>
          <w:numId w:val="1013"/>
        </w:numPr>
      </w:pPr>
      <w:r>
        <w:t xml:space="preserve">Use Greenbone en los objetivos de laboratorio aprobados; valide la cobertura, los hallazgos, la remediación y la reutilización.</w:t>
      </w:r>
    </w:p>
    <w:p>
      <w:pPr>
        <w:numPr>
          <w:ilvl w:val="0"/>
          <w:numId w:val="1013"/>
        </w:numPr>
      </w:pPr>
      <w:r>
        <w:t xml:space="preserve">Use Wazuh o Suricata para generar e investigar una alerta de prueba segura.</w:t>
      </w:r>
    </w:p>
    <w:p>
      <w:pPr>
        <w:numPr>
          <w:ilvl w:val="0"/>
          <w:numId w:val="1013"/>
        </w:numPr>
      </w:pPr>
      <w:r>
        <w:t xml:space="preserve">Use Trivy o ZAP en un repositorio de entrenamiento o aplicación y registre y repita.</w:t>
      </w:r>
    </w:p>
    <w:p>
      <w:pPr>
        <w:numPr>
          <w:ilvl w:val="0"/>
          <w:numId w:val="1013"/>
        </w:numPr>
      </w:pPr>
      <w:r>
        <w:t xml:space="preserve">Escriba un registro de prueba de copia de seguridad y una tabla de incidentes.</w:t>
      </w:r>
    </w:p>
    <w:p>
      <w:pPr>
        <w:numPr>
          <w:ilvl w:val="0"/>
          <w:numId w:val="1013"/>
        </w:numPr>
      </w:pPr>
      <w:r>
        <w:t xml:space="preserve">Crear cinco documentos de trabajo de evaluación de CIS con insumos, operaciones, medidas, métricas, listas de excepciones y conclusiones.</w:t>
      </w:r>
    </w:p>
    <w:p>
      <w:pPr>
        <w:numPr>
          <w:ilvl w:val="0"/>
          <w:numId w:val="1013"/>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4"/>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5"/>
        </w:numPr>
        <w:pStyle w:val="Compact"/>
      </w:pPr>
      <w:r>
        <w:t xml:space="preserve">Preparación de entrevistas</w:t>
      </w:r>
    </w:p>
    <w:p>
      <w:pPr>
        <w:numPr>
          <w:ilvl w:val="0"/>
          <w:numId w:val="1016"/>
        </w:numPr>
        <w:pStyle w:val="Compact"/>
      </w:pPr>
      <w:r>
        <w:t xml:space="preserve">Respuestas claras, escenarios prácticos y preguntas para el empleador.*</w:t>
      </w:r>
    </w:p>
    <w:bookmarkStart w:id="46"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46"/>
    <w:bookmarkStart w:id="4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7"/>
    <w:bookmarkStart w:id="4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48"/>
    <w:bookmarkStart w:id="4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49"/>
    <w:bookmarkStart w:id="5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0"/>
    <w:bookmarkStart w:id="5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1"/>
    <w:bookmarkStart w:id="5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2"/>
    <w:bookmarkStart w:id="5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3"/>
    <w:bookmarkStart w:id="5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4"/>
    <w:bookmarkEnd w:id="55"/>
    <w:bookmarkStart w:id="65" w:name="plantillas-glosario-índice-y-referencias"/>
    <w:p>
      <w:pPr>
        <w:pStyle w:val="Heading1"/>
      </w:pPr>
      <w:r>
        <w:t xml:space="preserve">30. Plantillas, Glosario, Índice y Referencias</w:t>
      </w:r>
    </w:p>
    <w:p>
      <w:pPr>
        <w:numPr>
          <w:ilvl w:val="0"/>
          <w:numId w:val="1017"/>
        </w:numPr>
        <w:pStyle w:val="Compact"/>
      </w:pPr>
      <w:r>
        <w:t xml:space="preserve">Estructuras de trabajo reutilizables, términos importantes y puntos de partida autorizados.*</w:t>
      </w:r>
    </w:p>
    <w:bookmarkStart w:id="56"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6"/>
    <w:bookmarkStart w:id="57"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7"/>
    <w:bookmarkStart w:id="58"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58"/>
    <w:bookmarkStart w:id="59"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59"/>
    <w:bookmarkStart w:id="6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0">
        <w:r>
          <w:rPr>
            <w:rStyle w:val="Hyperlink"/>
          </w:rPr>
          <w:t xml:space="preserve">Nota de Controles CIS</w:t>
        </w:r>
      </w:hyperlink>
    </w:p>
    <w:p>
      <w:pPr>
        <w:pStyle w:val="BodyText"/>
      </w:pPr>
      <w:r>
        <w:t xml:space="preserve">[ ]](https://www.cisecurity.org/controls/implementation-groups)</w:t>
      </w:r>
    </w:p>
    <w:p>
      <w:pPr>
        <w:pStyle w:val="BodyText"/>
      </w:pPr>
      <w:hyperlink r:id="rId61">
        <w:r>
          <w:rPr>
            <w:rStyle w:val="Hyperlink"/>
          </w:rPr>
          <w:t xml:space="preserve">Seguido</w:t>
        </w:r>
      </w:hyperlink>
    </w:p>
    <w:p>
      <w:pPr>
        <w:pStyle w:val="BodyText"/>
      </w:pPr>
      <w:hyperlink r:id="rId62">
        <w:r>
          <w:rPr>
            <w:rStyle w:val="Hyperlink"/>
          </w:rPr>
          <w:t xml:space="preserve">Seguido</w:t>
        </w:r>
      </w:hyperlink>
    </w:p>
    <w:p>
      <w:pPr>
        <w:pStyle w:val="BodyText"/>
      </w:pPr>
      <w:hyperlink r:id="rId6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2026-07-30T23:58:00Z</dcterms:created>
  <dcterms:modified xsi:type="dcterms:W3CDTF">2026-07-30T23:58:00Z</dcterms:modified>
</cp:coreProperties>
</file>

<file path=docProps/custom.xml><?xml version="1.0" encoding="utf-8"?>
<Properties xmlns="http://schemas.openxmlformats.org/officeDocument/2006/custom-properties" xmlns:vt="http://schemas.openxmlformats.org/officeDocument/2006/docPropsVTypes"/>
</file>