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29 — Garantia da cadeia de suprimentos de software e IA — Edição controlada pt-BR</w:t>
      </w:r>
    </w:p>
    <w:p>
      <w:pPr>
        <w:spacing w:after="120"/>
      </w:pPr>
      <w:r>
        <w:t>Status: tradução controlada não oficial do projeto. Preserva a separação entre obrigações vinculantes, padrões publicados, especificações voluntárias e orientações de implementação.</w:t>
      </w:r>
    </w:p>
    <w:p>
      <w:pPr>
        <w:pStyle w:val="Heading2"/>
      </w:pPr>
      <w:r>
        <w:t>Hierarquia de fontes controlada</w:t>
      </w:r>
    </w:p>
    <w:p>
      <w:pPr>
        <w:spacing w:after="120"/>
      </w:pPr>
      <w:r>
        <w:t>- Lei, regulamento, cláusula de contratação pública e contrato aplicáveis mantêm prioridade vinculante.</w:t>
      </w:r>
    </w:p>
    <w:p>
      <w:pPr>
        <w:spacing w:after="120"/>
      </w:pPr>
      <w:r>
        <w:t>- NIST SP 800-218 SSDF versão 1.1 é a linha de base final estável utilizada.</w:t>
      </w:r>
    </w:p>
    <w:p>
      <w:pPr>
        <w:spacing w:after="120"/>
      </w:pPr>
      <w:r>
        <w:t>- NIST SP 800-218A é o perfil comunitário final de IA utilizado com o SSDF 1.1.</w:t>
      </w:r>
    </w:p>
    <w:p>
      <w:pPr>
        <w:spacing w:after="120"/>
      </w:pPr>
      <w:r>
        <w:t>- SLSA versão 1.2 é a especificação aprovada vigente utilizada.</w:t>
      </w:r>
    </w:p>
    <w:p>
      <w:pPr>
        <w:spacing w:after="120"/>
      </w:pPr>
      <w:r>
        <w:t>- Orientações da CISA e fontes semelhantes são tratadas como orientação, salvo quando outra fonte as tornar obrigatórias.</w:t>
      </w:r>
    </w:p>
    <w:p>
      <w:pPr>
        <w:spacing w:after="120"/>
      </w:pPr>
      <w:r>
        <w:t>- NIST SP 800-218 Rev. 1 / SSDF versão 1.2 permanece em rascunho e sob monitoramento de mudanças.</w:t>
      </w:r>
    </w:p>
    <w:p>
      <w:pPr>
        <w:spacing w:after="120"/>
      </w:pPr>
      <w:r>
        <w:t>Cada capítulo preserva aplicabilidade, responsável, procedimento, evidência, revisão/teste, remediação e gatilho de reavaliação.</w:t>
      </w:r>
    </w:p>
    <w:p>
      <w:pPr>
        <w:pStyle w:val="Heading2"/>
      </w:pPr>
      <w:r>
        <w:t>Capítulo 01 — Objetivo, escopo e limites de fontes</w:t>
      </w:r>
    </w:p>
    <w:p>
      <w:pPr>
        <w:spacing w:after="120"/>
      </w:pPr>
      <w:r>
        <w:t>Definir o escopo de software, modelos, componentes, fornecedores, produtos, jurisdições, contratos e aquisições antes de selecionar controles. Evidência: declaração de escopo e registro de fontes. Responsável: líder de garantia da cadeia de suprimentos.</w:t>
      </w:r>
    </w:p>
    <w:p>
      <w:pPr>
        <w:pStyle w:val="Heading2"/>
      </w:pPr>
      <w:r>
        <w:t>Capítulo 02 — Inventário do ecossistema de fornecedores e componentes</w:t>
      </w:r>
    </w:p>
    <w:p>
      <w:pPr>
        <w:spacing w:after="120"/>
      </w:pPr>
      <w:r>
        <w:t>Manter inventário com responsável relacionando fornecedores materiais, pacotes, modelos, APIs, fontes de dados, serviços de build, hospedagem e dependências de produto. Evidência: registro e mapa de dependências.</w:t>
      </w:r>
    </w:p>
    <w:p>
      <w:pPr>
        <w:pStyle w:val="Heading2"/>
      </w:pPr>
      <w:r>
        <w:t>Capítulo 03 — Governança e responsabilidades de desenvolvimento seguro</w:t>
      </w:r>
    </w:p>
    <w:p>
      <w:pPr>
        <w:spacing w:after="120"/>
      </w:pPr>
      <w:r>
        <w:t>Estabelecer política, funções responsáveis, segregação de funções, escalonamento, autoridade para exceções e objetivos mensuráveis. Evidência: política, RACI, cartas e registro de exceções.</w:t>
      </w:r>
    </w:p>
    <w:p>
      <w:pPr>
        <w:pStyle w:val="Heading2"/>
      </w:pPr>
      <w:r>
        <w:t>Capítulo 04 — Preparação organizacional do SSDF</w:t>
      </w:r>
    </w:p>
    <w:p>
      <w:pPr>
        <w:spacing w:after="120"/>
      </w:pPr>
      <w:r>
        <w:t>Mapear práticas SSDF aplicáveis para procedimentos, ferramentas, treinamento, requisitos de segurança e expectativas de fornecedores sem apresentar orientação do NIST como certificação. Evidência: matriz de implementação SSDF.</w:t>
      </w:r>
    </w:p>
    <w:p>
      <w:pPr>
        <w:pStyle w:val="Heading2"/>
      </w:pPr>
      <w:r>
        <w:t>Capítulo 05 — Segurança do ambiente de desenvolvimento</w:t>
      </w:r>
    </w:p>
    <w:p>
      <w:pPr>
        <w:spacing w:after="120"/>
      </w:pPr>
      <w:r>
        <w:t>Manter linhas de base aprovadas para ambientes de desenvolvimento, build, teste e treinamento de modelos, incluindo acesso, configuração, atualização, monitoramento e mudança conforme o risco.</w:t>
      </w:r>
    </w:p>
    <w:p>
      <w:pPr>
        <w:pStyle w:val="Heading2"/>
      </w:pPr>
      <w:r>
        <w:t>Capítulo 06 — Governança de código-fonte e repositórios</w:t>
      </w:r>
    </w:p>
    <w:p>
      <w:pPr>
        <w:spacing w:after="120"/>
      </w:pPr>
      <w:r>
        <w:t>Usar repositórios controlados com propriedade definida, acesso autenticado, proteção de branches, política de revisão, auditabilidade, retenção e recuperação.</w:t>
      </w:r>
    </w:p>
    <w:p>
      <w:pPr>
        <w:pStyle w:val="Heading2"/>
      </w:pPr>
      <w:r>
        <w:t>Capítulo 07 — Identidade, acesso e administração privilegiada de build</w:t>
      </w:r>
    </w:p>
    <w:p>
      <w:pPr>
        <w:spacing w:after="120"/>
      </w:pPr>
      <w:r>
        <w:t>Aplicar privilégio mínimo, identidades gerenciadas, autenticação forte apropriada, revisão periódica de acesso e acesso emergencial controlado nas plataformas relevantes.</w:t>
      </w:r>
    </w:p>
    <w:p>
      <w:pPr>
        <w:pStyle w:val="Heading2"/>
      </w:pPr>
      <w:r>
        <w:t>Capítulo 08 — Controles de branches, revisão e mudanças</w:t>
      </w:r>
    </w:p>
    <w:p>
      <w:pPr>
        <w:spacing w:after="120"/>
      </w:pPr>
      <w:r>
        <w:t>Exigir mudanças rastreáveis, independência de revisão proporcional ao risco, verificações obrigatórias, caminhos de merge controlados e tratamento documentado de mudanças emergenciais.</w:t>
      </w:r>
    </w:p>
    <w:p>
      <w:pPr>
        <w:pStyle w:val="Heading2"/>
      </w:pPr>
      <w:r>
        <w:t>Capítulo 09 — Descoberta de dependências e inventário de componentes</w:t>
      </w:r>
    </w:p>
    <w:p>
      <w:pPr>
        <w:spacing w:after="120"/>
      </w:pPr>
      <w:r>
        <w:t>Identificar dependências diretas, transitivas, de execução, build, modelo, plugin e ferramenta por métodos aprovados e atribuir responsável aos componentes materiais.</w:t>
      </w:r>
    </w:p>
    <w:p>
      <w:pPr>
        <w:pStyle w:val="Heading2"/>
      </w:pPr>
      <w:r>
        <w:t>Capítulo 10 — Geração, formatos e ciclo de vida de SBOM</w:t>
      </w:r>
    </w:p>
    <w:p>
      <w:pPr>
        <w:spacing w:after="120"/>
      </w:pPr>
      <w:r>
        <w:t>Gerar e manter SBOM legível por máquina quando aplicável, vinculá-lo a versões controladas, definir formatos aceitos e validar identidade e relações dos componentes.</w:t>
      </w:r>
    </w:p>
    <w:p>
      <w:pPr>
        <w:pStyle w:val="Heading2"/>
      </w:pPr>
      <w:r>
        <w:t>Capítulo 11 — VEX e evidência do estado de vulnerabilidades</w:t>
      </w:r>
    </w:p>
    <w:p>
      <w:pPr>
        <w:spacing w:after="120"/>
      </w:pPr>
      <w:r>
        <w:t>Quando forem usadas declarações de estado de vulnerabilidade, vinculá-las a produto/versão, identificador, justificativa, evidência, responsável e gatilho de revisão.</w:t>
      </w:r>
    </w:p>
    <w:p>
      <w:pPr>
        <w:pStyle w:val="Heading2"/>
      </w:pPr>
      <w:r>
        <w:t>Capítulo 12 — Entrada de código aberto e interfaces de licenciamento</w:t>
      </w:r>
    </w:p>
    <w:p>
      <w:pPr>
        <w:spacing w:after="120"/>
      </w:pPr>
      <w:r>
        <w:t>Avaliar procedência, manutenção, histórico de segurança, obrigações de licença, avisos, restrições e uso/distribuição pretendidos antes de aprovar componentes abertos.</w:t>
      </w:r>
    </w:p>
    <w:p>
      <w:pPr>
        <w:pStyle w:val="Heading2"/>
      </w:pPr>
      <w:r>
        <w:t>Capítulo 13 — Garantia de bibliotecas e pacotes de terceiros</w:t>
      </w:r>
    </w:p>
    <w:p>
      <w:pPr>
        <w:spacing w:after="120"/>
      </w:pPr>
      <w:r>
        <w:t>Usar fontes aprovadas, versões ou identificadores imutáveis quando prático e critérios documentados de aceitação de componentes/fornecedores.</w:t>
      </w:r>
    </w:p>
    <w:p>
      <w:pPr>
        <w:pStyle w:val="Heading2"/>
      </w:pPr>
      <w:r>
        <w:t>Capítulo 14 — Segurança de serviços de build e CI/CD</w:t>
      </w:r>
    </w:p>
    <w:p>
      <w:pPr>
        <w:spacing w:after="120"/>
      </w:pPr>
      <w:r>
        <w:t>Governar CI/CD com configurações aprovadas, acesso administrativo restrito, definições protegidas, integrações controladas, registros de auditoria e revisão de mudanças.</w:t>
      </w:r>
    </w:p>
    <w:p>
      <w:pPr>
        <w:pStyle w:val="Heading2"/>
      </w:pPr>
      <w:r>
        <w:t>Capítulo 15 — Considerações de build hermético/reprodutível</w:t>
      </w:r>
    </w:p>
    <w:p>
      <w:pPr>
        <w:spacing w:after="120"/>
      </w:pPr>
      <w:r>
        <w:t>Avaliar entradas não declaradas, variabilidade de ambiente, deriva de ferramentas e necessidades de reprodutibilidade; aplicar técnicas apropriadas quando justificadas por risco ou obrigação.</w:t>
      </w:r>
    </w:p>
    <w:p>
      <w:pPr>
        <w:pStyle w:val="Heading2"/>
      </w:pPr>
      <w:r>
        <w:t>Capítulo 16 — Assinatura e verificação de artefatos</w:t>
      </w:r>
    </w:p>
    <w:p>
      <w:pPr>
        <w:spacing w:after="120"/>
      </w:pPr>
      <w:r>
        <w:t>Definir autoridade de assinatura, identidades ou chaves aprovadas, processo protegido, política de verificação, revogação e requisitos de verificação pelo consumidor.</w:t>
      </w:r>
    </w:p>
    <w:p>
      <w:pPr>
        <w:pStyle w:val="Heading2"/>
      </w:pPr>
      <w:r>
        <w:t>Capítulo 17 — Arquitetura de proveniência e atestações</w:t>
      </w:r>
    </w:p>
    <w:p>
      <w:pPr>
        <w:spacing w:after="120"/>
      </w:pPr>
      <w:r>
        <w:t>Gerar proveniência ou atestações a partir de processos confiáveis, vinculá-las a identidades imutáveis e definir política de verificação. Evidência: atestações e resumos de verificação.</w:t>
      </w:r>
    </w:p>
    <w:p>
      <w:pPr>
        <w:pStyle w:val="Heading2"/>
      </w:pPr>
      <w:r>
        <w:t>Capítulo 18 — Implementação das trilhas Build e Source do SLSA</w:t>
      </w:r>
    </w:p>
    <w:p>
      <w:pPr>
        <w:spacing w:after="120"/>
      </w:pPr>
      <w:r>
        <w:t>Selecionar objetivos aplicáveis de trilha/nível SLSA v1.2, documentar lacunas, satisfazer requisitos antes de fazer declarações e distinguir maturidade interna de certificação externa.</w:t>
      </w:r>
    </w:p>
    <w:p>
      <w:pPr>
        <w:pStyle w:val="Heading2"/>
      </w:pPr>
      <w:r>
        <w:t>Capítulo 19 — Governança de segredos, chaves, tokens e material de assinatura</w:t>
      </w:r>
    </w:p>
    <w:p>
      <w:pPr>
        <w:spacing w:after="120"/>
      </w:pPr>
      <w:r>
        <w:t>Usar armazenamento aprovado, credenciais com escopo reduzido, rotação, controle de acesso, monitoramento e procedimentos de incidente para segredos de desenvolvimento e cadeia de suprimentos.</w:t>
      </w:r>
    </w:p>
    <w:p>
      <w:pPr>
        <w:pStyle w:val="Heading2"/>
      </w:pPr>
      <w:r>
        <w:t>Capítulo 20 — Garantia de contêineres, imagens e componentes de infraestrutura</w:t>
      </w:r>
    </w:p>
    <w:p>
      <w:pPr>
        <w:spacing w:after="120"/>
      </w:pPr>
      <w:r>
        <w:t>Usar fontes aprovadas, versões controladas, controles de vulnerabilidade e integridade, registros de linhagem e assinatura/verificação conforme o risco.</w:t>
      </w:r>
    </w:p>
    <w:p>
      <w:pPr>
        <w:pStyle w:val="Heading2"/>
      </w:pPr>
      <w:r>
        <w:t>Capítulo 21 — Proveniência de modelos de IA e controles de sua cadeia de suprimentos</w:t>
      </w:r>
    </w:p>
    <w:p>
      <w:pPr>
        <w:spacing w:after="120"/>
      </w:pPr>
      <w:r>
        <w:t>Registrar origem, versão, fornecedor, linhagem de treinamento/ajuste quando disponível, restrições de licença/uso, identificadores de integridade, avaliação, responsável e dependências materiais.</w:t>
      </w:r>
    </w:p>
    <w:p>
      <w:pPr>
        <w:pStyle w:val="Heading2"/>
      </w:pPr>
      <w:r>
        <w:t>Capítulo 22 — Proveniência de dados de treinamento e avaliação</w:t>
      </w:r>
    </w:p>
    <w:p>
      <w:pPr>
        <w:spacing w:after="120"/>
      </w:pPr>
      <w:r>
        <w:t>Registrar fonte, autorização ou licença, sensibilidade, qualidade, transformações, linhagem, retenção e limitações de uso de dados materiais.</w:t>
      </w:r>
    </w:p>
    <w:p>
      <w:pPr>
        <w:pStyle w:val="Heading2"/>
      </w:pPr>
      <w:r>
        <w:t>Capítulo 23 — Governança de componentes, plugins, ferramentas e agentes de IA</w:t>
      </w:r>
    </w:p>
    <w:p>
      <w:pPr>
        <w:spacing w:after="120"/>
      </w:pPr>
      <w:r>
        <w:t>Inventariar componentes e serviços de suporte a IA, documentar permissões e limites de confiança, exigir evidência de fornecedor/proveniência e reavaliar mudanças materiais.</w:t>
      </w:r>
    </w:p>
    <w:p>
      <w:pPr>
        <w:pStyle w:val="Heading2"/>
      </w:pPr>
      <w:r>
        <w:t>Capítulo 24 — Garantia de modelos, APIs e provedores de serviços externos</w:t>
      </w:r>
    </w:p>
    <w:p>
      <w:pPr>
        <w:spacing w:after="120"/>
      </w:pPr>
      <w:r>
        <w:t>Avaliar segurança, privacidade, disponibilidade, tratamento de dados, notificação de incidentes, subcontratados, direitos de evidência, mudanças, saída e compromissos contratuais.</w:t>
      </w:r>
    </w:p>
    <w:p>
      <w:pPr>
        <w:pStyle w:val="Heading2"/>
      </w:pPr>
      <w:r>
        <w:t>Capítulo 25 — Descoberta, priorização e resposta a vulnerabilidades</w:t>
      </w:r>
    </w:p>
    <w:p>
      <w:pPr>
        <w:spacing w:after="120"/>
      </w:pPr>
      <w:r>
        <w:t>Relacionar vulnerabilidades a produtos/componentes afetados, priorizar conforme o risco, atribuir compromissos de remediação, validar o fechamento e manter decisões de risco.</w:t>
      </w:r>
    </w:p>
    <w:p>
      <w:pPr>
        <w:pStyle w:val="Heading2"/>
      </w:pPr>
      <w:r>
        <w:t>Capítulo 26 — Governança de fontes de pacotes e integridade de dependências</w:t>
      </w:r>
    </w:p>
    <w:p>
      <w:pPr>
        <w:spacing w:after="120"/>
      </w:pPr>
      <w:r>
        <w:t>Governar namespaces, registros aprovados, nomes de componentes, mudanças de fornecedor, sinais de integridade e comportamento inesperado de dependências para revisão de anomalias materiais.</w:t>
      </w:r>
    </w:p>
    <w:p>
      <w:pPr>
        <w:pStyle w:val="Heading2"/>
      </w:pPr>
      <w:r>
        <w:t>Capítulo 27 — Aprovação de release, distribuição e rollback</w:t>
      </w:r>
    </w:p>
    <w:p>
      <w:pPr>
        <w:spacing w:after="120"/>
      </w:pPr>
      <w:r>
        <w:t>Exigir gates de release, identidade do artefato, testes necessários, verificações de proveniência/assinatura, SBOM/VEX quando aplicável, autoridade de aprovação, distribuição controlada e capacidade de rollback.</w:t>
      </w:r>
    </w:p>
    <w:p>
      <w:pPr>
        <w:pStyle w:val="Heading2"/>
      </w:pPr>
      <w:r>
        <w:t>Capítulo 28 — Resposta a incidentes e comprometimento da cadeia de suprimentos</w:t>
      </w:r>
    </w:p>
    <w:p>
      <w:pPr>
        <w:spacing w:after="120"/>
      </w:pPr>
      <w:r>
        <w:t>Integrar cenários de comprometimento de fornecedores, componentes, repositórios, build, assinatura, modelos e dados à resposta a incidentes, recuperação e ações corretivas.</w:t>
      </w:r>
    </w:p>
    <w:p>
      <w:pPr>
        <w:pStyle w:val="Heading2"/>
      </w:pPr>
      <w:r>
        <w:t>Capítulo 29 — Métricas, exceções e aceitação de risco</w:t>
      </w:r>
    </w:p>
    <w:p>
      <w:pPr>
        <w:spacing w:after="120"/>
      </w:pPr>
      <w:r>
        <w:t>Medir propriedade de dependências, cobertura de verificação, cobertura SBOM, idade de vulnerabilidades, atualização de evidência de fornecedores, exceções e objetivos de garantia. Exigir aceitação de risco com prazo.</w:t>
      </w:r>
    </w:p>
    <w:p>
      <w:pPr>
        <w:pStyle w:val="Heading2"/>
      </w:pPr>
      <w:r>
        <w:t>Capítulo 30 — Garantia, testes e validação de evidências</w:t>
      </w:r>
    </w:p>
    <w:p>
      <w:pPr>
        <w:spacing w:after="120"/>
      </w:pPr>
      <w:r>
        <w:t>Executar garantia independente baseada em risco por inspeção de evidências, revisão de configuração, verificação de artefatos/proveniência, rastreabilidade de releases e testes de operação de controles.</w:t>
      </w:r>
    </w:p>
    <w:p>
      <w:pPr>
        <w:pStyle w:val="Heading2"/>
      </w:pPr>
      <w:r>
        <w:t>Capítulo 31 — Localização, acessibilidade, licenciamento e controle de fontes</w:t>
      </w:r>
    </w:p>
    <w:p>
      <w:pPr>
        <w:spacing w:after="120"/>
      </w:pPr>
      <w:r>
        <w:t>Manter paridade controlada EN/es-419/pt-BR, identificar traduções do projeto como não oficiais, preservar limites de licença/fonte e validar acessibilidade, renderização e controle de versão.</w:t>
      </w:r>
    </w:p>
    <w:p>
      <w:pPr>
        <w:pStyle w:val="Heading2"/>
      </w:pPr>
      <w:r>
        <w:t>Capítulo 32 — Roteiro de release, proveniência, checksums e publicação sequencial</w:t>
      </w:r>
    </w:p>
    <w:p>
      <w:pPr>
        <w:spacing w:after="120"/>
      </w:pPr>
      <w:r>
        <w:t>Gerar candidatos DOCX/PDF reprodutíveis EN/es-419/pt-BR, vincular identidades SHA-256 e digest do artefato, executar QA determinístico sem regeneração, armazenar exatamente os bytes verificados, exigir Manual 28 publicado e reconciliar o estado somente com uma matriz final totalmente verde.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