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42 — Implementación Controlada de Privacidad de Canadá</w:t>
      </w:r>
    </w:p>
    <w:p>
      <w:pPr>
        <w:spacing w:after="120"/>
      </w:pPr>
      <w:r>
        <w:t>**Línea base controlada:** PIPEDA sigue siendo una referencia federal del sector privado; las leyes provinciales, reglas sectoriales y materiales regulatorios se mantienen como capas jurídicas distintas.</w:t>
      </w:r>
    </w:p>
    <w:p>
      <w:pPr>
        <w:spacing w:after="120"/>
      </w:pPr>
      <w:r>
        <w:t>**Límite:** la aplicabilidad depende de organización, provincia, actividad, sector, empleo y hechos interprovinciales o internacionales.</w:t>
      </w:r>
    </w:p>
    <w:p>
      <w:pPr>
        <w:spacing w:after="120"/>
      </w:pPr>
      <w:r>
        <w:t>**Regla de liberación:** volver a verificar el estado federal/provincial y el material regulatorio vigente antes de congelar el candidato.</w:t>
      </w:r>
    </w:p>
    <w:p>
      <w:pPr>
        <w:pStyle w:val="Heading2"/>
      </w:pPr>
      <w:r>
        <w:t>Chapter 01 — Propósito, alcance y jerarquía de fuentes</w:t>
      </w:r>
    </w:p>
    <w:p>
      <w:pPr>
        <w:spacing w:after="120"/>
      </w:pPr>
      <w:r>
        <w:t>Defina capas controladas federales, provinciales, sectoriales, regulatorias, contractuales y organizacionales; mantenga decisiones de aplicabilidad, responsables, vigilancia de cambios y evidencia.</w:t>
      </w:r>
    </w:p>
    <w:p>
      <w:pPr>
        <w:pStyle w:val="Heading2"/>
      </w:pPr>
      <w:r>
        <w:t>Chapter 02 — Aplicabilidad federal y provincial</w:t>
      </w:r>
    </w:p>
    <w:p>
      <w:pPr>
        <w:spacing w:after="120"/>
      </w:pPr>
      <w:r>
        <w:t>Determine qué régimen aplica a cada actividad de tratamiento y documente el fundamento, las superposiciones y las excepciones jurisdiccionales.</w:t>
      </w:r>
    </w:p>
    <w:p>
      <w:pPr>
        <w:pStyle w:val="Heading2"/>
      </w:pPr>
      <w:r>
        <w:t>Chapter 03 — Responsabilidad</w:t>
      </w:r>
    </w:p>
    <w:p>
      <w:pPr>
        <w:spacing w:after="120"/>
      </w:pPr>
      <w:r>
        <w:t>Asigne liderazgo de privacidad y propietarios operativos; mantenga políticas, supervisión, escalamiento, decisiones de riesgo y acciones correctivas.</w:t>
      </w:r>
    </w:p>
    <w:p>
      <w:pPr>
        <w:pStyle w:val="Heading2"/>
      </w:pPr>
      <w:r>
        <w:t>Chapter 04 — Identificación de finalidades</w:t>
      </w:r>
    </w:p>
    <w:p>
      <w:pPr>
        <w:spacing w:after="120"/>
      </w:pPr>
      <w:r>
        <w:t>Documente las finalidades antes o al recopilar datos y vincúlelas con sistemas, categorías, avisos, autoridad, destinatarios, retención y usos posteriores.</w:t>
      </w:r>
    </w:p>
    <w:p>
      <w:pPr>
        <w:pStyle w:val="Heading2"/>
      </w:pPr>
      <w:r>
        <w:t>Chapter 05 — Gobierno del consentimiento</w:t>
      </w:r>
    </w:p>
    <w:p>
      <w:pPr>
        <w:spacing w:after="120"/>
      </w:pPr>
      <w:r>
        <w:t>Determine forma, validez, retiro y excepciones del consentimiento según sensibilidad, expectativas, contexto, riesgo y ley aplicable; conserve evidencia verificable.</w:t>
      </w:r>
    </w:p>
    <w:p>
      <w:pPr>
        <w:pStyle w:val="Heading2"/>
      </w:pPr>
      <w:r>
        <w:t>Chapter 06 — Limitación de la recopilación</w:t>
      </w:r>
    </w:p>
    <w:p>
      <w:pPr>
        <w:spacing w:after="120"/>
      </w:pPr>
      <w:r>
        <w:t>Recopile solo información apropiada para finalidades documentadas y gobierne campos opcionales, telemetría, inferencias, enriquecimiento y fuentes secundarias.</w:t>
      </w:r>
    </w:p>
    <w:p>
      <w:pPr>
        <w:pStyle w:val="Heading2"/>
      </w:pPr>
      <w:r>
        <w:t>Chapter 07 — Limitación de uso, divulgación y retención</w:t>
      </w:r>
    </w:p>
    <w:p>
      <w:pPr>
        <w:spacing w:after="120"/>
      </w:pPr>
      <w:r>
        <w:t>Restrinja uso y divulgación a finalidades autorizadas y conserve información solo durante períodos justificables; documente excepciones y obligaciones legales.</w:t>
      </w:r>
    </w:p>
    <w:p>
      <w:pPr>
        <w:pStyle w:val="Heading2"/>
      </w:pPr>
      <w:r>
        <w:t>Chapter 08 — Exactitud</w:t>
      </w:r>
    </w:p>
    <w:p>
      <w:pPr>
        <w:spacing w:after="120"/>
      </w:pPr>
      <w:r>
        <w:t>Implemente controles de calidad proporcionales al uso y al impacto de decisiones, con corrección, validación de fuentes y propagación de cambios.</w:t>
      </w:r>
    </w:p>
    <w:p>
      <w:pPr>
        <w:pStyle w:val="Heading2"/>
      </w:pPr>
      <w:r>
        <w:t>Chapter 09 — Salvaguardas</w:t>
      </w:r>
    </w:p>
    <w:p>
      <w:pPr>
        <w:spacing w:after="120"/>
      </w:pPr>
      <w:r>
        <w:t>Aplique salvaguardas administrativas, técnicas y físicas proporcionales a sensibilidad, volumen, formato, amenazas y modelo de acceso; conserve pruebas de diseño y prueba.</w:t>
      </w:r>
    </w:p>
    <w:p>
      <w:pPr>
        <w:pStyle w:val="Heading2"/>
      </w:pPr>
      <w:r>
        <w:t>Chapter 10 — Apertura y transparencia</w:t>
      </w:r>
    </w:p>
    <w:p>
      <w:pPr>
        <w:spacing w:after="120"/>
      </w:pPr>
      <w:r>
        <w:t>Haga accesibles las prácticas de privacidad, contactos, derechos, finalidades principales, tratamiento transfronterizo, quejas y opciones relevantes.</w:t>
      </w:r>
    </w:p>
    <w:p>
      <w:pPr>
        <w:pStyle w:val="Heading2"/>
      </w:pPr>
      <w:r>
        <w:t>Chapter 11 — Acceso y corrección individual</w:t>
      </w:r>
    </w:p>
    <w:p>
      <w:pPr>
        <w:spacing w:after="120"/>
      </w:pPr>
      <w:r>
        <w:t>Opere recepción, verificación de identidad, búsqueda, excepciones, respuesta, corrección, entrega segura, tiempos y cierre con evidencia.</w:t>
      </w:r>
    </w:p>
    <w:p>
      <w:pPr>
        <w:pStyle w:val="Heading2"/>
      </w:pPr>
      <w:r>
        <w:t>Chapter 12 — Impugnación del cumplimiento</w:t>
      </w:r>
    </w:p>
    <w:p>
      <w:pPr>
        <w:spacing w:after="120"/>
      </w:pPr>
      <w:r>
        <w:t>Mantenga recepción de quejas, investigación, respuesta, corrección, escalamiento, interacción con reguladores, análisis de tendencias y preservación de evidencia.</w:t>
      </w:r>
    </w:p>
    <w:p>
      <w:pPr>
        <w:pStyle w:val="Heading2"/>
      </w:pPr>
      <w:r>
        <w:t>Chapter 13 — Inventario y mapeo de flujos de datos</w:t>
      </w:r>
    </w:p>
    <w:p>
      <w:pPr>
        <w:spacing w:after="120"/>
      </w:pPr>
      <w:r>
        <w:t>Inventaríe sistemas, repositorios, proveedores, interfaces, transferencias, categorías, finalidades, ubicaciones, propietarios, accesos y dependencias de retención.</w:t>
      </w:r>
    </w:p>
    <w:p>
      <w:pPr>
        <w:pStyle w:val="Heading2"/>
      </w:pPr>
      <w:r>
        <w:t>Chapter 14 — Gobierno de encargados y proveedores</w:t>
      </w:r>
    </w:p>
    <w:p>
      <w:pPr>
        <w:spacing w:after="120"/>
      </w:pPr>
      <w:r>
        <w:t>Evalúe finalidad, acceso, salvaguardas, subcontratistas, ubicación, incidentes, retención, eliminación, auditoría, supervisión y salida; mantenga contratos y monitoreo.</w:t>
      </w:r>
    </w:p>
    <w:p>
      <w:pPr>
        <w:pStyle w:val="Heading2"/>
      </w:pPr>
      <w:r>
        <w:t>Chapter 15 — Tratamiento transfronterizo</w:t>
      </w:r>
    </w:p>
    <w:p>
      <w:pPr>
        <w:spacing w:after="120"/>
      </w:pPr>
      <w:r>
        <w:t>Documente almacenamiento, acceso, soporte, divulgaciones, exposición jurídica, contratos, transparencia y controles de riesgo sin asumir prohibición o libertad absoluta.</w:t>
      </w:r>
    </w:p>
    <w:p>
      <w:pPr>
        <w:pStyle w:val="Heading2"/>
      </w:pPr>
      <w:r>
        <w:t>Chapter 16 — Evaluación de riesgo de brechas</w:t>
      </w:r>
    </w:p>
    <w:p>
      <w:pPr>
        <w:spacing w:after="120"/>
      </w:pPr>
      <w:r>
        <w:t>Use un método documentado para valorar sensibilidad, probabilidad de uso indebido, personas afectadas, salvaguardas, exposición y umbrales legales aplicables.</w:t>
      </w:r>
    </w:p>
    <w:p>
      <w:pPr>
        <w:pStyle w:val="Heading2"/>
      </w:pPr>
      <w:r>
        <w:t>Chapter 17 — Reporte y notificación de brechas</w:t>
      </w:r>
    </w:p>
    <w:p>
      <w:pPr>
        <w:spacing w:after="120"/>
      </w:pPr>
      <w:r>
        <w:t>Determine requisitos de notificación al regulador y a individuos según ley y hechos; mantenga evidencia de decisión, tiempo, contenido, coordinación y remediación.</w:t>
      </w:r>
    </w:p>
    <w:p>
      <w:pPr>
        <w:pStyle w:val="Heading2"/>
      </w:pPr>
      <w:r>
        <w:t>Chapter 18 — Registros de brechas</w:t>
      </w:r>
    </w:p>
    <w:p>
      <w:pPr>
        <w:spacing w:after="120"/>
      </w:pPr>
      <w:r>
        <w:t>Conserve los registros de brechas y el análisis de soporte durante el período aplicable, con acceso controlado y trazabilidad al incidente.</w:t>
      </w:r>
    </w:p>
    <w:p>
      <w:pPr>
        <w:pStyle w:val="Heading2"/>
      </w:pPr>
      <w:r>
        <w:t>Chapter 19 — Información de empleados</w:t>
      </w:r>
    </w:p>
    <w:p>
      <w:pPr>
        <w:spacing w:after="120"/>
      </w:pPr>
      <w:r>
        <w:t>Evalúe datos de empleados y candidatos por jurisdicción y tipo de organización; mantenga avisos, acceso, seguridad, monitoreo, retención, derechos y controles de proveedores.</w:t>
      </w:r>
    </w:p>
    <w:p>
      <w:pPr>
        <w:pStyle w:val="Heading2"/>
      </w:pPr>
      <w:r>
        <w:t>Chapter 20 — Niños y jóvenes</w:t>
      </w:r>
    </w:p>
    <w:p>
      <w:pPr>
        <w:spacing w:after="120"/>
      </w:pPr>
      <w:r>
        <w:t>Aplique transparencia, autoridad, minimización, diseño, publicidad, perfilado y salvaguardas apropiadas a edad, capacidad, sensibilidad, servicio y riesgo.</w:t>
      </w:r>
    </w:p>
    <w:p>
      <w:pPr>
        <w:pStyle w:val="Heading2"/>
      </w:pPr>
      <w:r>
        <w:t>Chapter 21 — Biometría</w:t>
      </w:r>
    </w:p>
    <w:p>
      <w:pPr>
        <w:spacing w:after="120"/>
      </w:pPr>
      <w:r>
        <w:t>Identifique usos biométricos y documente autoridad, necesidad, proporcionalidad, seguridad, retención, acceso, eliminación, proveedores y superposiciones provinciales.</w:t>
      </w:r>
    </w:p>
    <w:p>
      <w:pPr>
        <w:pStyle w:val="Heading2"/>
      </w:pPr>
      <w:r>
        <w:t>Chapter 22 — Marketing y analítica</w:t>
      </w:r>
    </w:p>
    <w:p>
      <w:pPr>
        <w:spacing w:after="120"/>
      </w:pPr>
      <w:r>
        <w:t>Gobierne marketing, rastreo, perfilado, analítica, audiencias, consentimiento, opciones, supresión, intercambio y comunicaciones bajo las reglas aplicables.</w:t>
      </w:r>
    </w:p>
    <w:p>
      <w:pPr>
        <w:pStyle w:val="Heading2"/>
      </w:pPr>
      <w:r>
        <w:t>Chapter 23 — Nube y SaaS</w:t>
      </w:r>
    </w:p>
    <w:p>
      <w:pPr>
        <w:spacing w:after="120"/>
      </w:pPr>
      <w:r>
        <w:t>Mapee responsabilidades de procesamiento, acceso administrativo, ubicación, telemetría, respaldos, subprocesadores, incidentes, eliminación, portabilidad, configuración y salida.</w:t>
      </w:r>
    </w:p>
    <w:p>
      <w:pPr>
        <w:pStyle w:val="Heading2"/>
      </w:pPr>
      <w:r>
        <w:t>Chapter 24 — IA y tratamiento automatizado</w:t>
      </w:r>
    </w:p>
    <w:p>
      <w:pPr>
        <w:spacing w:after="120"/>
      </w:pPr>
      <w:r>
        <w:t>Inventaríe usos automatizados o de IA con datos personales y evalúe finalidad, autoridad, calidad, minimización, transparencia, inferencias, supervisión humana, seguridad y proveedores.</w:t>
      </w:r>
    </w:p>
    <w:p>
      <w:pPr>
        <w:pStyle w:val="Heading2"/>
      </w:pPr>
      <w:r>
        <w:t>Chapter 25 — Operaciones de solicitudes de derechos</w:t>
      </w:r>
    </w:p>
    <w:p>
      <w:pPr>
        <w:spacing w:after="120"/>
      </w:pPr>
      <w:r>
        <w:t>Mantenga recepción, enrutamiento, identidad, búsqueda, revisión jurídica, respuesta, entrega segura, corrección, quejas, métricas y evidencia estandarizadas.</w:t>
      </w:r>
    </w:p>
    <w:p>
      <w:pPr>
        <w:pStyle w:val="Heading2"/>
      </w:pPr>
      <w:r>
        <w:t>Chapter 26 — Superposiciones provinciales</w:t>
      </w:r>
    </w:p>
    <w:p>
      <w:pPr>
        <w:spacing w:after="120"/>
      </w:pPr>
      <w:r>
        <w:t>Mantenga capas controladas separadas para leyes provinciales privadas, salud, sector público, empleo, biometría, consumo y sectores; no mezcle obligaciones provinciales con PIPEDA.</w:t>
      </w:r>
    </w:p>
    <w:p>
      <w:pPr>
        <w:pStyle w:val="Heading2"/>
      </w:pPr>
      <w:r>
        <w:t>Chapter 27 — Retención y eliminación</w:t>
      </w:r>
    </w:p>
    <w:p>
      <w:pPr>
        <w:spacing w:after="120"/>
      </w:pPr>
      <w:r>
        <w:t>Defina calendarios, legal hold, archivo, eliminación, anonimización cuando corresponda, sanitización, eliminación por proveedores, excepciones y evidencia.</w:t>
      </w:r>
    </w:p>
    <w:p>
      <w:pPr>
        <w:pStyle w:val="Heading2"/>
      </w:pPr>
      <w:r>
        <w:t>Chapter 28 — Capacitación y competencia</w:t>
      </w:r>
    </w:p>
    <w:p>
      <w:pPr>
        <w:spacing w:after="120"/>
      </w:pPr>
      <w:r>
        <w:t>Imparta capacitación basada en roles para manejadores de datos, derechos, RR. HH., marketing, ingeniería, compras, seguridad, ejecutivos e incidentes; conserve evidencia de competencia.</w:t>
      </w:r>
    </w:p>
    <w:p>
      <w:pPr>
        <w:pStyle w:val="Heading2"/>
      </w:pPr>
      <w:r>
        <w:t>Chapter 29 — Aseguramiento y auditoría</w:t>
      </w:r>
    </w:p>
    <w:p>
      <w:pPr>
        <w:spacing w:after="120"/>
      </w:pPr>
      <w:r>
        <w:t>Pruebe consentimiento, finalidades, avisos, derechos, salvaguardas, proveedores, transferencias, brechas, retención, marketing, biometría e IA con muestras basadas en riesgo.</w:t>
      </w:r>
    </w:p>
    <w:p>
      <w:pPr>
        <w:pStyle w:val="Heading2"/>
      </w:pPr>
      <w:r>
        <w:t>Chapter 30 — Métricas y revisión de gestión</w:t>
      </w:r>
    </w:p>
    <w:p>
      <w:pPr>
        <w:spacing w:after="120"/>
      </w:pPr>
      <w:r>
        <w:t>Mida tiempos de derechos, quejas, decisiones de brecha, hallazgos de proveedores, consentimiento, excepciones de retención, capacitación, remediación y cambios regulatorios.</w:t>
      </w:r>
    </w:p>
    <w:p>
      <w:pPr>
        <w:pStyle w:val="Heading2"/>
      </w:pPr>
      <w:r>
        <w:t>Chapter 31 — Localización, procedencia y evidencia de liberación</w:t>
      </w:r>
    </w:p>
    <w:p>
      <w:pPr>
        <w:spacing w:after="120"/>
      </w:pPr>
      <w:r>
        <w:t>Congele candidatos EN/es-419/pt-BR antes de revisión exacta; vincule DOCX/PDF a SHA-256 y preserve evidencia de fuente, estructura, paridad, accesibilidad, renderizado, seguridad y staging.</w:t>
      </w:r>
    </w:p>
    <w:p>
      <w:pPr>
        <w:pStyle w:val="Heading2"/>
      </w:pPr>
      <w:r>
        <w:t>Chapter 32 — Hoja de ruta y reverificación previa a liberación</w:t>
      </w:r>
    </w:p>
    <w:p>
      <w:pPr>
        <w:spacing w:after="120"/>
      </w:pPr>
      <w:r>
        <w:t>Implemente aplicabilidad, inventario, responsabilidad, finalidades, consentimiento, derechos, salvaguardas, proveedores, transferencias, brechas, contextos especiales y aseguramiento. Revalide PIPEDA, leyes provinciales y material regulatorio antes de publicar.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