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42 — Implementação Controlada de Privacidade do Canadá</w:t>
      </w:r>
    </w:p>
    <w:p>
      <w:pPr>
        <w:spacing w:after="120"/>
      </w:pPr>
      <w:r>
        <w:t>**Linha de base controlada:** a PIPEDA permanece como referência federal do setor privado; leis provinciais, regras setoriais e materiais regulatórios são mantidos como camadas jurídicas distintas.</w:t>
      </w:r>
    </w:p>
    <w:p>
      <w:pPr>
        <w:spacing w:after="120"/>
      </w:pPr>
      <w:r>
        <w:t>**Limite:** a aplicabilidade depende da organização, província, atividade, setor, emprego e fatos interprovinciais ou internacionais.</w:t>
      </w:r>
    </w:p>
    <w:p>
      <w:pPr>
        <w:spacing w:after="120"/>
      </w:pPr>
      <w:r>
        <w:t>**Regra de liberação:** reverificar o estado federal/provincial e o material regulatório vigente antes do congelamento do candidato.</w:t>
      </w:r>
    </w:p>
    <w:p>
      <w:pPr>
        <w:pStyle w:val="Heading2"/>
      </w:pPr>
      <w:r>
        <w:t>Chapter 01 — Finalidade, escopo e hierarquia de fontes</w:t>
      </w:r>
    </w:p>
    <w:p>
      <w:pPr>
        <w:spacing w:after="120"/>
      </w:pPr>
      <w:r>
        <w:t>Defina camadas controladas federais, provinciais, setoriais, regulatórias, contratuais e organizacionais; mantenha decisões de aplicabilidade, responsáveis, monitoramento de mudanças e evidências.</w:t>
      </w:r>
    </w:p>
    <w:p>
      <w:pPr>
        <w:pStyle w:val="Heading2"/>
      </w:pPr>
      <w:r>
        <w:t>Chapter 02 — Aplicabilidade federal e provincial</w:t>
      </w:r>
    </w:p>
    <w:p>
      <w:pPr>
        <w:spacing w:after="120"/>
      </w:pPr>
      <w:r>
        <w:t>Determine qual regime se aplica a cada atividade de tratamento e documente fundamento, sobreposições e exceções jurisdicionais.</w:t>
      </w:r>
    </w:p>
    <w:p>
      <w:pPr>
        <w:pStyle w:val="Heading2"/>
      </w:pPr>
      <w:r>
        <w:t>Chapter 03 — Responsabilização</w:t>
      </w:r>
    </w:p>
    <w:p>
      <w:pPr>
        <w:spacing w:after="120"/>
      </w:pPr>
      <w:r>
        <w:t>Atribua liderança de privacidade e proprietários operacionais; mantenha políticas, supervisão, escalonamento, decisões de risco e ações corretivas.</w:t>
      </w:r>
    </w:p>
    <w:p>
      <w:pPr>
        <w:pStyle w:val="Heading2"/>
      </w:pPr>
      <w:r>
        <w:t>Chapter 04 — Identificação de finalidades</w:t>
      </w:r>
    </w:p>
    <w:p>
      <w:pPr>
        <w:spacing w:after="120"/>
      </w:pPr>
      <w:r>
        <w:t>Documente finalidades antes ou no momento da coleta e vincule-as a sistemas, categorias, avisos, autoridade, destinatários, retenção e usos posteriores.</w:t>
      </w:r>
    </w:p>
    <w:p>
      <w:pPr>
        <w:pStyle w:val="Heading2"/>
      </w:pPr>
      <w:r>
        <w:t>Chapter 05 — Governança do consentimento</w:t>
      </w:r>
    </w:p>
    <w:p>
      <w:pPr>
        <w:spacing w:after="120"/>
      </w:pPr>
      <w:r>
        <w:t>Determine forma, validade, retirada e exceções de consentimento conforme sensibilidade, expectativas, contexto, risco e lei aplicável; preserve evidências verificáveis.</w:t>
      </w:r>
    </w:p>
    <w:p>
      <w:pPr>
        <w:pStyle w:val="Heading2"/>
      </w:pPr>
      <w:r>
        <w:t>Chapter 06 — Limitação da coleta</w:t>
      </w:r>
    </w:p>
    <w:p>
      <w:pPr>
        <w:spacing w:after="120"/>
      </w:pPr>
      <w:r>
        <w:t>Colete somente informações adequadas às finalidades documentadas e governe campos opcionais, telemetria, inferências, enriquecimento e fontes secundárias.</w:t>
      </w:r>
    </w:p>
    <w:p>
      <w:pPr>
        <w:pStyle w:val="Heading2"/>
      </w:pPr>
      <w:r>
        <w:t>Chapter 07 — Limitação de uso, divulgação e retenção</w:t>
      </w:r>
    </w:p>
    <w:p>
      <w:pPr>
        <w:spacing w:after="120"/>
      </w:pPr>
      <w:r>
        <w:t>Restrinja uso e divulgação às finalidades autorizadas e retenha informações apenas por períodos justificáveis; documente exceções e obrigações legais.</w:t>
      </w:r>
    </w:p>
    <w:p>
      <w:pPr>
        <w:pStyle w:val="Heading2"/>
      </w:pPr>
      <w:r>
        <w:t>Chapter 08 — Exatidão</w:t>
      </w:r>
    </w:p>
    <w:p>
      <w:pPr>
        <w:spacing w:after="120"/>
      </w:pPr>
      <w:r>
        <w:t>Implemente controles de qualidade proporcionais ao uso e ao impacto das decisões, com correção, validação de fontes e propagação de alterações.</w:t>
      </w:r>
    </w:p>
    <w:p>
      <w:pPr>
        <w:pStyle w:val="Heading2"/>
      </w:pPr>
      <w:r>
        <w:t>Chapter 09 — Salvaguardas</w:t>
      </w:r>
    </w:p>
    <w:p>
      <w:pPr>
        <w:spacing w:after="120"/>
      </w:pPr>
      <w:r>
        <w:t>Aplique salvaguardas administrativas, técnicas e físicas proporcionais à sensibilidade, volume, formato, ameaças e modelo de acesso; preserve evidências de desenho e teste.</w:t>
      </w:r>
    </w:p>
    <w:p>
      <w:pPr>
        <w:pStyle w:val="Heading2"/>
      </w:pPr>
      <w:r>
        <w:t>Chapter 10 — Abertura e transparência</w:t>
      </w:r>
    </w:p>
    <w:p>
      <w:pPr>
        <w:spacing w:after="120"/>
      </w:pPr>
      <w:r>
        <w:t>Torne acessíveis as práticas de privacidade, contatos, direitos, finalidades principais, tratamento transfronteiriço, reclamações e escolhas relevantes.</w:t>
      </w:r>
    </w:p>
    <w:p>
      <w:pPr>
        <w:pStyle w:val="Heading2"/>
      </w:pPr>
      <w:r>
        <w:t>Chapter 11 — Acesso e correção individual</w:t>
      </w:r>
    </w:p>
    <w:p>
      <w:pPr>
        <w:spacing w:after="120"/>
      </w:pPr>
      <w:r>
        <w:t>Opere recebimento, verificação de identidade, busca, exceções, resposta, correção, entrega segura, prazos e encerramento com evidências.</w:t>
      </w:r>
    </w:p>
    <w:p>
      <w:pPr>
        <w:pStyle w:val="Heading2"/>
      </w:pPr>
      <w:r>
        <w:t>Chapter 12 — Contestação de conformidade</w:t>
      </w:r>
    </w:p>
    <w:p>
      <w:pPr>
        <w:spacing w:after="120"/>
      </w:pPr>
      <w:r>
        <w:t>Mantenha recebimento de reclamações, investigação, resposta, correção, escalonamento, interação com reguladores, análise de tendências e preservação de evidências.</w:t>
      </w:r>
    </w:p>
    <w:p>
      <w:pPr>
        <w:pStyle w:val="Heading2"/>
      </w:pPr>
      <w:r>
        <w:t>Chapter 13 — Inventário e mapeamento de fluxos de dados</w:t>
      </w:r>
    </w:p>
    <w:p>
      <w:pPr>
        <w:spacing w:after="120"/>
      </w:pPr>
      <w:r>
        <w:t>Inventarie sistemas, repositórios, fornecedores, interfaces, transferências, categorias, finalidades, localizações, proprietários, acessos e dependências de retenção.</w:t>
      </w:r>
    </w:p>
    <w:p>
      <w:pPr>
        <w:pStyle w:val="Heading2"/>
      </w:pPr>
      <w:r>
        <w:t>Chapter 14 — Governança de operadores e fornecedores</w:t>
      </w:r>
    </w:p>
    <w:p>
      <w:pPr>
        <w:spacing w:after="120"/>
      </w:pPr>
      <w:r>
        <w:t>Avalie finalidade, acesso, salvaguardas, subcontratados, localização, suporte a incidentes, retenção, eliminação, auditoria, supervisão e saída; mantenha contratos e monitoramento.</w:t>
      </w:r>
    </w:p>
    <w:p>
      <w:pPr>
        <w:pStyle w:val="Heading2"/>
      </w:pPr>
      <w:r>
        <w:t>Chapter 15 — Tratamento transfronteiriço</w:t>
      </w:r>
    </w:p>
    <w:p>
      <w:pPr>
        <w:spacing w:after="120"/>
      </w:pPr>
      <w:r>
        <w:t>Documente armazenamento, acesso, suporte, divulgações, exposição jurídica, contratos, transparência e controles de risco sem presumir proibição ou liberdade absoluta.</w:t>
      </w:r>
    </w:p>
    <w:p>
      <w:pPr>
        <w:pStyle w:val="Heading2"/>
      </w:pPr>
      <w:r>
        <w:t>Chapter 16 — Avaliação de risco de violações</w:t>
      </w:r>
    </w:p>
    <w:p>
      <w:pPr>
        <w:spacing w:after="120"/>
      </w:pPr>
      <w:r>
        <w:t>Use método documentado para avaliar sensibilidade, probabilidade de uso indevido, pessoas afetadas, salvaguardas, exposição e limites legais aplicáveis.</w:t>
      </w:r>
    </w:p>
    <w:p>
      <w:pPr>
        <w:pStyle w:val="Heading2"/>
      </w:pPr>
      <w:r>
        <w:t>Chapter 17 — Relato e notificação de violações</w:t>
      </w:r>
    </w:p>
    <w:p>
      <w:pPr>
        <w:spacing w:after="120"/>
      </w:pPr>
      <w:r>
        <w:t>Determine requisitos de notificação ao regulador e aos indivíduos conforme lei e fatos; mantenha evidências de decisão, prazo, conteúdo, coordenação e remediação.</w:t>
      </w:r>
    </w:p>
    <w:p>
      <w:pPr>
        <w:pStyle w:val="Heading2"/>
      </w:pPr>
      <w:r>
        <w:t>Chapter 18 — Registros de violações</w:t>
      </w:r>
    </w:p>
    <w:p>
      <w:pPr>
        <w:spacing w:after="120"/>
      </w:pPr>
      <w:r>
        <w:t>Preserve registros de violações e análises de suporte pelo período aplicável, com acesso controlado e rastreabilidade ao incidente.</w:t>
      </w:r>
    </w:p>
    <w:p>
      <w:pPr>
        <w:pStyle w:val="Heading2"/>
      </w:pPr>
      <w:r>
        <w:t>Chapter 19 — Informações de empregados</w:t>
      </w:r>
    </w:p>
    <w:p>
      <w:pPr>
        <w:spacing w:after="120"/>
      </w:pPr>
      <w:r>
        <w:t>Avalie dados de empregados e candidatos por jurisdição e tipo de organização; mantenha avisos, acesso, segurança, monitoramento, retenção, direitos e controles de fornecedores.</w:t>
      </w:r>
    </w:p>
    <w:p>
      <w:pPr>
        <w:pStyle w:val="Heading2"/>
      </w:pPr>
      <w:r>
        <w:t>Chapter 20 — Crianças e jovens</w:t>
      </w:r>
    </w:p>
    <w:p>
      <w:pPr>
        <w:spacing w:after="120"/>
      </w:pPr>
      <w:r>
        <w:t>Aplique transparência, autoridade, minimização, desenho, publicidade, perfilamento e salvaguardas adequadas à idade, capacidade, sensibilidade, serviço e risco.</w:t>
      </w:r>
    </w:p>
    <w:p>
      <w:pPr>
        <w:pStyle w:val="Heading2"/>
      </w:pPr>
      <w:r>
        <w:t>Chapter 21 — Biometria</w:t>
      </w:r>
    </w:p>
    <w:p>
      <w:pPr>
        <w:spacing w:after="120"/>
      </w:pPr>
      <w:r>
        <w:t>Identifique usos biométricos e documente autoridade, necessidade, proporcionalidade, segurança, retenção, acesso, eliminação, fornecedores e sobreposições provinciais.</w:t>
      </w:r>
    </w:p>
    <w:p>
      <w:pPr>
        <w:pStyle w:val="Heading2"/>
      </w:pPr>
      <w:r>
        <w:t>Chapter 22 — Marketing e análise</w:t>
      </w:r>
    </w:p>
    <w:p>
      <w:pPr>
        <w:spacing w:after="120"/>
      </w:pPr>
      <w:r>
        <w:t>Governe marketing, rastreamento, perfilamento, análise, audiências, consentimento, escolhas, supressão, compartilhamento e comunicações segundo as regras aplicáveis.</w:t>
      </w:r>
    </w:p>
    <w:p>
      <w:pPr>
        <w:pStyle w:val="Heading2"/>
      </w:pPr>
      <w:r>
        <w:t>Chapter 23 — Nuvem e SaaS</w:t>
      </w:r>
    </w:p>
    <w:p>
      <w:pPr>
        <w:spacing w:after="120"/>
      </w:pPr>
      <w:r>
        <w:t>Mapeie responsabilidades de tratamento, acesso administrativo, localização, telemetria, backups, suboperadores, incidentes, eliminação, portabilidade, configuração e saída.</w:t>
      </w:r>
    </w:p>
    <w:p>
      <w:pPr>
        <w:pStyle w:val="Heading2"/>
      </w:pPr>
      <w:r>
        <w:t>Chapter 24 — IA e tratamento automatizado</w:t>
      </w:r>
    </w:p>
    <w:p>
      <w:pPr>
        <w:spacing w:after="120"/>
      </w:pPr>
      <w:r>
        <w:t>Inventarie usos automatizados ou de IA envolvendo dados pessoais e avalie finalidade, autoridade, qualidade, minimização, transparência, inferências, supervisão humana, segurança e fornecedores.</w:t>
      </w:r>
    </w:p>
    <w:p>
      <w:pPr>
        <w:pStyle w:val="Heading2"/>
      </w:pPr>
      <w:r>
        <w:t>Chapter 25 — Operações de solicitações de direitos</w:t>
      </w:r>
    </w:p>
    <w:p>
      <w:pPr>
        <w:spacing w:after="120"/>
      </w:pPr>
      <w:r>
        <w:t>Mantenha recebimento, roteamento, identidade, busca, revisão jurídica, resposta, entrega segura, correção, reclamações, métricas e evidências padronizadas.</w:t>
      </w:r>
    </w:p>
    <w:p>
      <w:pPr>
        <w:pStyle w:val="Heading2"/>
      </w:pPr>
      <w:r>
        <w:t>Chapter 26 — Sobreposições provinciais</w:t>
      </w:r>
    </w:p>
    <w:p>
      <w:pPr>
        <w:spacing w:after="120"/>
      </w:pPr>
      <w:r>
        <w:t>Mantenha camadas controladas separadas para leis provinciais privadas, saúde, setor público, emprego, biometria, consumo e setores; não misture deveres provinciais com PIPEDA.</w:t>
      </w:r>
    </w:p>
    <w:p>
      <w:pPr>
        <w:pStyle w:val="Heading2"/>
      </w:pPr>
      <w:r>
        <w:t>Chapter 27 — Retenção e descarte</w:t>
      </w:r>
    </w:p>
    <w:p>
      <w:pPr>
        <w:spacing w:after="120"/>
      </w:pPr>
      <w:r>
        <w:t>Defina cronogramas, legal hold, arquivo, eliminação, anonimização quando aplicável, sanitização, eliminação por fornecedores, exceções e evidências.</w:t>
      </w:r>
    </w:p>
    <w:p>
      <w:pPr>
        <w:pStyle w:val="Heading2"/>
      </w:pPr>
      <w:r>
        <w:t>Chapter 28 — Treinamento e competência</w:t>
      </w:r>
    </w:p>
    <w:p>
      <w:pPr>
        <w:spacing w:after="120"/>
      </w:pPr>
      <w:r>
        <w:t>Forneça treinamento baseado em funções para manipuladores de dados, equipes de direitos, RH, marketing, engenharia, compras, segurança, executivos e incidentes; preserve evidências de competência.</w:t>
      </w:r>
    </w:p>
    <w:p>
      <w:pPr>
        <w:pStyle w:val="Heading2"/>
      </w:pPr>
      <w:r>
        <w:t>Chapter 29 — Garantia e auditoria</w:t>
      </w:r>
    </w:p>
    <w:p>
      <w:pPr>
        <w:spacing w:after="120"/>
      </w:pPr>
      <w:r>
        <w:t>Teste consentimento, finalidades, avisos, direitos, salvaguardas, fornecedores, transferências, violações, retenção, marketing, biometria e IA com amostras baseadas em risco.</w:t>
      </w:r>
    </w:p>
    <w:p>
      <w:pPr>
        <w:pStyle w:val="Heading2"/>
      </w:pPr>
      <w:r>
        <w:t>Chapter 30 — Métricas e análise crítica da gestão</w:t>
      </w:r>
    </w:p>
    <w:p>
      <w:pPr>
        <w:spacing w:after="120"/>
      </w:pPr>
      <w:r>
        <w:t>Meça prazos de direitos, reclamações, decisões de violação, achados de fornecedores, consentimento, exceções de retenção, treinamento, remediação e mudanças regulatórias.</w:t>
      </w:r>
    </w:p>
    <w:p>
      <w:pPr>
        <w:pStyle w:val="Heading2"/>
      </w:pPr>
      <w:r>
        <w:t>Chapter 31 — Localização, proveniência e evidências de liberação</w:t>
      </w:r>
    </w:p>
    <w:p>
      <w:pPr>
        <w:spacing w:after="120"/>
      </w:pPr>
      <w:r>
        <w:t>Congele candidatos EN/es-419/pt-BR antes da revisão exata; vincule DOCX/PDF a SHA-256 e preserve evidências de fonte, estrutura, paridade, acessibilidade, renderização, segurança e staging.</w:t>
      </w:r>
    </w:p>
    <w:p>
      <w:pPr>
        <w:pStyle w:val="Heading2"/>
      </w:pPr>
      <w:r>
        <w:t>Chapter 32 — Roteiro e reverificação antes da liberação</w:t>
      </w:r>
    </w:p>
    <w:p>
      <w:pPr>
        <w:spacing w:after="120"/>
      </w:pPr>
      <w:r>
        <w:t>Implemente aplicabilidade, inventário, responsabilização, finalidades, consentimento, direitos, salvaguardas, fornecedores, transferências, violações, contextos especiais e garantia. Revalide PIPEDA, leis provinciais e material regulatório antes de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