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COMPLIANÇA</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1"/>
    <w:bookmarkStart w:id="22"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2"/>
    <w:bookmarkStart w:id="24" w:name="uso-ético-e-autorizado"/>
    <w:p>
      <w:pPr>
        <w:pStyle w:val="Heading1"/>
      </w:pPr>
      <w:r>
        <w:t xml:space="preserve"># 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HIPAA Playbook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0"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FirstParagraph"/>
      </w:pPr>
    </w:p>
    <w:p>
      <w:pPr>
        <w:pStyle w:val="BodyText"/>
      </w:pPr>
      <w:r>
        <w:t xml:space="preserve">Figura 1. As principais áreas de conformidade HIPAA</w:t>
      </w:r>
    </w:p>
    <w:bookmarkStart w:id="25" w:name="regras-hipaa"/>
    <w:p>
      <w:pPr>
        <w:pStyle w:val="Heading2"/>
      </w:pPr>
      <w:r>
        <w:t xml:space="preserve">1.1 Regras HIPAA</w:t>
      </w:r>
    </w:p>
    <w:bookmarkEnd w:id="25"/>
    <w:bookmarkStart w:id="26"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6"/>
    <w:bookmarkStart w:id="27"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27"/>
    <w:bookmarkStart w:id="28" w:name="controlo-da-lei-actual"/>
    <w:p>
      <w:pPr>
        <w:pStyle w:val="Heading2"/>
      </w:pPr>
      <w:r>
        <w:t xml:space="preserve">1.3 Controlo da lei actual</w:t>
      </w:r>
    </w:p>
    <w:bookmarkEnd w:id="28"/>
    <w:bookmarkStart w:id="29"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29"/>
    <w:bookmarkEnd w:id="30"/>
    <w:bookmarkStart w:id="39"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FirstParagraph"/>
      </w:pP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1"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1"/>
    <w:bookmarkStart w:id="33"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2" w:name="X911b73e2a1b29e82129b43d8aeba30143bb10e9"/>
      <w:r>
        <w:t xml:space="preserve">Metodologia** Metodologia** Metodologia** Evidência**</w:t>
      </w:r>
      <w:bookmarkEnd w:id="32"/>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3"/>
    <w:bookmarkStart w:id="34"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34"/>
    <w:bookmarkStart w:id="35"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35"/>
    <w:bookmarkStart w:id="36"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36"/>
    <w:bookmarkStart w:id="37"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37"/>
    <w:bookmarkStart w:id="38"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38"/>
    <w:bookmarkEnd w:id="39"/>
    <w:bookmarkStart w:id="44"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1" w:name="visão-geral-dos-direitos"/>
    <w:p>
      <w:pPr>
        <w:pStyle w:val="Heading2"/>
      </w:pPr>
      <w:r>
        <w:t xml:space="preserve">4.1 Visão geral dos direitos</w:t>
      </w:r>
    </w:p>
    <w:p>
      <w:pPr>
        <w:numPr>
          <w:ilvl w:val="0"/>
          <w:numId w:val="1012"/>
        </w:numPr>
        <w:pStyle w:val="Heading2"/>
      </w:pPr>
      <w:bookmarkStart w:id="40" w:name="X82ea82feda45033b70eb8d06309c53c156ce706"/>
      <w:r>
        <w:t xml:space="preserve">Direito** ** Prazo típico** ** Trabalho operacional**</w:t>
      </w:r>
      <w:bookmarkEnd w:id="40"/>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1"/>
    <w:bookmarkStart w:id="42"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2"/>
    <w:bookmarkStart w:id="43"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3"/>
    <w:bookmarkEnd w:id="44"/>
    <w:bookmarkStart w:id="48"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FirstParagraph"/>
      </w:pP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45"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45"/>
    <w:bookmarkStart w:id="46"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46"/>
    <w:bookmarkStart w:id="47"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47"/>
    <w:bookmarkEnd w:id="48"/>
    <w:bookmarkStart w:id="51"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FirstParagraph"/>
      </w:pPr>
    </w:p>
    <w:p>
      <w:pPr>
        <w:pStyle w:val="BodyText"/>
      </w:pPr>
      <w:r>
        <w:t xml:space="preserve">Figura 4. Fluxo de trabalho de violação HIPAA</w:t>
      </w:r>
    </w:p>
    <w:bookmarkStart w:id="49"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49"/>
    <w:bookmarkStart w:id="50"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50"/>
    <w:bookmarkEnd w:id="51"/>
    <w:bookmarkStart w:id="56"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52"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52"/>
    <w:bookmarkStart w:id="53" w:name="diligência-devida"/>
    <w:p>
      <w:pPr>
        <w:pStyle w:val="Heading2"/>
      </w:pPr>
      <w:r>
        <w:t xml:space="preserve">9.2 Diligência devida</w:t>
      </w:r>
    </w:p>
    <w:bookmarkEnd w:id="53"/>
    <w:bookmarkStart w:id="54"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54"/>
    <w:bookmarkStart w:id="55"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55"/>
    <w:bookmarkEnd w:id="56"/>
    <w:bookmarkStart w:id="57"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57"/>
    <w:bookmarkStart w:id="60"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58"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58"/>
    <w:bookmarkStart w:id="59"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59"/>
    <w:bookmarkEnd w:id="60"/>
    <w:bookmarkStart w:id="61"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61"/>
    <w:bookmarkStart w:id="62"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62"/>
    <w:bookmarkStart w:id="63"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63"/>
    <w:bookmarkStart w:id="65"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64"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64"/>
    <w:bookmarkEnd w:id="65"/>
    <w:bookmarkStart w:id="66"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66"/>
    <w:bookmarkStart w:id="68" w:name="regra-de-segurança"/>
    <w:p>
      <w:pPr>
        <w:pStyle w:val="Heading1"/>
      </w:pPr>
      <w:r>
        <w:t xml:space="preserve"># 12.1 Regra de segurança</w:t>
      </w:r>
    </w:p>
    <w:p>
      <w:pPr>
        <w:numPr>
          <w:ilvl w:val="0"/>
          <w:numId w:val="1032"/>
        </w:numPr>
        <w:pStyle w:val="Heading2"/>
      </w:pPr>
      <w:bookmarkStart w:id="67" w:name="evidência-típica"/>
      <w:r>
        <w:t xml:space="preserve">** ** ** ** ** ** ** ** ** ** ** ** Evidência típica** **</w:t>
      </w:r>
      <w:bookmarkEnd w:id="67"/>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68"/>
    <w:bookmarkStart w:id="70" w:name="regra-de-privacidade"/>
    <w:p>
      <w:pPr>
        <w:pStyle w:val="Heading1"/>
      </w:pPr>
      <w:r>
        <w:t xml:space="preserve"># 12.2 Regra de privacidade</w:t>
      </w:r>
    </w:p>
    <w:p>
      <w:pPr>
        <w:numPr>
          <w:ilvl w:val="0"/>
          <w:numId w:val="1041"/>
        </w:numPr>
        <w:pStyle w:val="Heading2"/>
      </w:pPr>
      <w:bookmarkStart w:id="69" w:name="evidência-típica-1"/>
      <w:r>
        <w:t xml:space="preserve">** ** ** ** ** ** ** ** ** ** ** ** Evidência típica** **</w:t>
      </w:r>
      <w:bookmarkEnd w:id="69"/>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70"/>
    <w:bookmarkStart w:id="78" w:name="regra-de-violação-da-notificação-1"/>
    <w:p>
      <w:pPr>
        <w:pStyle w:val="Heading1"/>
      </w:pPr>
      <w:r>
        <w:t xml:space="preserve"># 12.3 Regra de violação da notificação</w:t>
      </w:r>
    </w:p>
    <w:p>
      <w:pPr>
        <w:numPr>
          <w:ilvl w:val="0"/>
          <w:numId w:val="1042"/>
        </w:numPr>
        <w:pStyle w:val="Heading2"/>
      </w:pPr>
      <w:bookmarkStart w:id="71" w:name="evidência-típica-2"/>
      <w:r>
        <w:t xml:space="preserve">** ** ** ** ** ** ** ** ** ** ** ** Evidência típica** **</w:t>
      </w:r>
      <w:bookmarkEnd w:id="71"/>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72"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Compliance and investigations Cooperar, preservar fatos, evitar retaliação</w:t>
      </w:r>
      <w:r>
        <w:t xml:space="preserve"> </w:t>
      </w:r>
      <w:r>
        <w:t xml:space="preserve">Parte 160 Subpartes D–E □ Penas e procedimentos em matéria de moeda civil</w:t>
      </w:r>
    </w:p>
    <w:bookmarkEnd w:id="72"/>
    <w:bookmarkStart w:id="73"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BodyText"/>
      </w:pP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73"/>
    <w:bookmarkStart w:id="75" w:name="testes-práticos-de-verificação"/>
    <w:p>
      <w:pPr>
        <w:pStyle w:val="Heading2"/>
      </w:pPr>
      <w:r>
        <w:t xml:space="preserve">12.6 Testes práticos de verificação</w:t>
      </w:r>
    </w:p>
    <w:p>
      <w:pPr>
        <w:numPr>
          <w:ilvl w:val="0"/>
          <w:numId w:val="1044"/>
        </w:numPr>
        <w:pStyle w:val="Heading2"/>
      </w:pPr>
      <w:bookmarkStart w:id="74"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74"/>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75"/>
    <w:bookmarkStart w:id="76" w:name="confiabilidade-das-provas"/>
    <w:p>
      <w:pPr>
        <w:pStyle w:val="Heading2"/>
      </w:pPr>
      <w:r>
        <w:t xml:space="preserve">12.7 Confiabilidade das provas</w:t>
      </w:r>
    </w:p>
    <w:bookmarkEnd w:id="76"/>
    <w:bookmarkStart w:id="77"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77"/>
    <w:bookmarkEnd w:id="78"/>
    <w:bookmarkStart w:id="79" w:name="hipaa-playbook-do-gerente"/>
    <w:p>
      <w:pPr>
        <w:pStyle w:val="Heading1"/>
      </w:pPr>
      <w:r>
        <w:t xml:space="preserve">13. HIPAA Playbook do gerente</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79"/>
    <w:bookmarkStart w:id="81" w:name="painel-mensal"/>
    <w:p>
      <w:pPr>
        <w:pStyle w:val="Heading1"/>
      </w:pPr>
      <w:r>
        <w:t xml:space="preserve"># 13.2 Painel mensal</w:t>
      </w:r>
    </w:p>
    <w:bookmarkStart w:id="80"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80"/>
    <w:bookmarkEnd w:id="81"/>
    <w:bookmarkStart w:id="82"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82"/>
    <w:bookmarkStart w:id="83"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FirstParagraph"/>
      </w:pPr>
    </w:p>
    <w:p>
      <w:pPr>
        <w:pStyle w:val="BodyText"/>
      </w:pPr>
      <w:r>
        <w:t xml:space="preserve">Figura 5. Caminho de analista HIPAA júnior</w:t>
      </w:r>
    </w:p>
    <w:bookmarkEnd w:id="83"/>
    <w:bookmarkStart w:id="84"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84"/>
    <w:bookmarkStart w:id="85"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85"/>
    <w:bookmarkStart w:id="88" w:name="prova-de-carteira"/>
    <w:p>
      <w:pPr>
        <w:pStyle w:val="Heading1"/>
      </w:pPr>
      <w:r>
        <w:t xml:space="preserve"># 14.3 Prova de carteira</w:t>
      </w:r>
    </w:p>
    <w:bookmarkStart w:id="87"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Scoping □ Covered-entity and business-associate role memo</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86"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86"/>
    </w:p>
    <w:bookmarkEnd w:id="87"/>
    <w:bookmarkEnd w:id="88"/>
    <w:bookmarkStart w:id="91"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89"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89"/>
    <w:bookmarkStart w:id="90"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90"/>
    <w:bookmarkEnd w:id="91"/>
    <w:bookmarkStart w:id="94" w:name="Xd16b606d2c107a9aa9b77ec123dee02690b91f5"/>
    <w:p>
      <w:pPr>
        <w:pStyle w:val="Heading1"/>
      </w:pPr>
      <w:r>
        <w:t xml:space="preserve"># 15.1 Matriz de verificação da ferramenta de exigência</w:t>
      </w:r>
    </w:p>
    <w:bookmarkStart w:id="92"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92"/>
    <w:bookmarkStart w:id="93"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93"/>
    <w:bookmarkEnd w:id="94"/>
    <w:bookmarkStart w:id="95"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FirstParagraph"/>
      </w:pP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95"/>
    <w:bookmarkStart w:id="96"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96"/>
    <w:bookmarkStart w:id="98"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97">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98"/>
    <w:bookmarkStart w:id="101"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00"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99">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00"/>
    <w:bookmarkEnd w:id="101"/>
    <w:bookmarkStart w:id="102"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2"/>
    <w:bookmarkStart w:id="104"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03">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04"/>
    <w:bookmarkStart w:id="105"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5"/>
    <w:bookmarkStart w:id="107"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06">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07"/>
    <w:bookmarkStart w:id="108"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8"/>
    <w:bookmarkStart w:id="110"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9">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10"/>
    <w:bookmarkStart w:id="111"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1"/>
    <w:bookmarkStart w:id="113"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12">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13"/>
    <w:bookmarkStart w:id="114"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4"/>
    <w:bookmarkStart w:id="116"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15">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16"/>
    <w:bookmarkStart w:id="117"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18">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19"/>
    <w:bookmarkStart w:id="120"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0"/>
    <w:bookmarkStart w:id="122"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21">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22"/>
    <w:bookmarkStart w:id="123"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24">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25"/>
    <w:bookmarkStart w:id="126"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recursos-governamentais-livres"/>
    <w:p>
      <w:pPr>
        <w:pStyle w:val="Heading1"/>
      </w:pPr>
      <w:r>
        <w:t xml:space="preserve"># 15.15 Recursos governamentais livres</w:t>
      </w:r>
    </w:p>
    <w:p>
      <w:pPr>
        <w:pStyle w:val="FirstParagraph"/>
      </w:pPr>
      <w:r>
        <w:rPr>
          <w:bCs/>
          <w:b/>
        </w:rPr>
        <w:t xml:space="preserve">HHS/ONC Security Risk Assessment Tool:</w:t>
      </w:r>
      <w:r>
        <w:t xml:space="preserve"> </w:t>
      </w:r>
      <w:hyperlink r:id="rId127">
        <w:r>
          <w:rPr>
            <w:rStyle w:val="Hyperlink"/>
          </w:rPr>
          <w:t xml:space="preserve">Open the official SRA Tool page</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28"/>
    <w:bookmarkStart w:id="129"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29"/>
    <w:bookmarkStart w:id="130"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30"/>
    <w:bookmarkStart w:id="132"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31"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31"/>
    <w:bookmarkEnd w:id="132"/>
    <w:bookmarkStart w:id="133"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33"/>
    <w:bookmarkStart w:id="134"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34"/>
    <w:bookmarkStart w:id="135"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35"/>
    <w:bookmarkStart w:id="136"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36"/>
    <w:bookmarkStart w:id="137"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37"/>
    <w:bookmarkStart w:id="138"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38"/>
    <w:bookmarkStart w:id="139"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39"/>
    <w:bookmarkStart w:id="140"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40"/>
    <w:bookmarkStart w:id="141"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41"/>
    <w:bookmarkStart w:id="142"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42"/>
    <w:bookmarkStart w:id="143"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43"/>
    <w:bookmarkStart w:id="144"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44"/>
    <w:bookmarkStart w:id="145"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45"/>
    <w:bookmarkStart w:id="146"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46"/>
    <w:bookmarkStart w:id="147"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47"/>
    <w:bookmarkStart w:id="148"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48"/>
    <w:bookmarkStart w:id="149"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49"/>
    <w:bookmarkStart w:id="150"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50"/>
    <w:bookmarkStart w:id="152"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51"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51"/>
    <w:bookmarkEnd w:id="152"/>
    <w:bookmarkStart w:id="153"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53"/>
    <w:bookmarkStart w:id="157" w:name="quebrar-a-folha-de-factos"/>
    <w:p>
      <w:pPr>
        <w:pStyle w:val="Heading1"/>
      </w:pPr>
      <w:r>
        <w:t xml:space="preserve"># 19.3 Quebrar a folha de factos</w:t>
      </w:r>
    </w:p>
    <w:bookmarkStart w:id="154"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54"/>
    <w:bookmarkStart w:id="155"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55"/>
    <w:bookmarkStart w:id="156"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56"/>
    <w:bookmarkEnd w:id="157"/>
    <w:bookmarkStart w:id="158"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58"/>
    <w:bookmarkStart w:id="160"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59"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59"/>
    <w:bookmarkEnd w:id="160"/>
    <w:bookmarkStart w:id="175"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61">
        <w:r>
          <w:rPr>
            <w:rStyle w:val="Hyperlink"/>
          </w:rPr>
          <w:t xml:space="preserve">eCFR — 45 CFR Parte 160</w:t>
        </w:r>
      </w:hyperlink>
    </w:p>
    <w:p>
      <w:pPr>
        <w:pStyle w:val="BodyText"/>
      </w:pPr>
      <w:hyperlink r:id="rId162">
        <w:r>
          <w:rPr>
            <w:rStyle w:val="Hyperlink"/>
          </w:rPr>
          <w:t xml:space="preserve">eCFR — 45 CFR Parte 164</w:t>
        </w:r>
      </w:hyperlink>
    </w:p>
    <w:p>
      <w:pPr>
        <w:pStyle w:val="BodyText"/>
      </w:pPr>
      <w:hyperlink r:id="rId163">
        <w:r>
          <w:rPr>
            <w:rStyle w:val="Hyperlink"/>
          </w:rPr>
          <w:t xml:space="preserve">HHS — HIPAA para Profissionais</w:t>
        </w:r>
      </w:hyperlink>
    </w:p>
    <w:p>
      <w:pPr>
        <w:pStyle w:val="BodyText"/>
      </w:pPr>
      <w:hyperlink r:id="rId164">
        <w:r>
          <w:rPr>
            <w:rStyle w:val="Hyperlink"/>
          </w:rPr>
          <w:t xml:space="preserve">HHS — Regra de privacidade</w:t>
        </w:r>
      </w:hyperlink>
    </w:p>
    <w:p>
      <w:pPr>
        <w:pStyle w:val="BodyText"/>
      </w:pPr>
      <w:hyperlink r:id="rId165">
        <w:r>
          <w:rPr>
            <w:rStyle w:val="Hyperlink"/>
          </w:rPr>
          <w:t xml:space="preserve">HHS — Regra de segurança</w:t>
        </w:r>
      </w:hyperlink>
    </w:p>
    <w:p>
      <w:pPr>
        <w:pStyle w:val="BodyText"/>
      </w:pPr>
      <w:hyperlink r:id="rId166">
        <w:r>
          <w:rPr>
            <w:rStyle w:val="Hyperlink"/>
          </w:rPr>
          <w:t xml:space="preserve">HHS — Regra de notificação de violação</w:t>
        </w:r>
      </w:hyperlink>
    </w:p>
    <w:p>
      <w:pPr>
        <w:pStyle w:val="BodyText"/>
      </w:pPr>
      <w:hyperlink r:id="rId167">
        <w:r>
          <w:rPr>
            <w:rStyle w:val="Hyperlink"/>
          </w:rPr>
          <w:t xml:space="preserve">HHS — Orientação para a Análise de Riscos</w:t>
        </w:r>
      </w:hyperlink>
    </w:p>
    <w:p>
      <w:pPr>
        <w:pStyle w:val="BodyText"/>
      </w:pPr>
      <w:hyperlink r:id="rId168">
        <w:r>
          <w:rPr>
            <w:rStyle w:val="Hyperlink"/>
          </w:rPr>
          <w:t xml:space="preserve">HHS — HIPAA Audit Protocol</w:t>
        </w:r>
      </w:hyperlink>
    </w:p>
    <w:p>
      <w:pPr>
        <w:pStyle w:val="BodyText"/>
      </w:pPr>
      <w:hyperlink r:id="rId169">
        <w:r>
          <w:rPr>
            <w:rStyle w:val="Hyperlink"/>
          </w:rPr>
          <w:t xml:space="preserve">HHS — Provisões para acordos associados às empresas</w:t>
        </w:r>
      </w:hyperlink>
    </w:p>
    <w:p>
      <w:pPr>
        <w:pStyle w:val="BodyText"/>
      </w:pPr>
      <w:hyperlink r:id="rId170">
        <w:r>
          <w:rPr>
            <w:rStyle w:val="Hyperlink"/>
          </w:rPr>
          <w:t xml:space="preserve">HHS — 42 CFR Parte 2</w:t>
        </w:r>
      </w:hyperlink>
    </w:p>
    <w:p>
      <w:pPr>
        <w:pStyle w:val="BodyText"/>
      </w:pPr>
      <w:hyperlink r:id="rId171">
        <w:r>
          <w:rPr>
            <w:rStyle w:val="Hyperlink"/>
          </w:rPr>
          <w:t xml:space="preserve">HHS — Estado da regra da saúde reprodutiva</w:t>
        </w:r>
      </w:hyperlink>
    </w:p>
    <w:p>
      <w:pPr>
        <w:pStyle w:val="BodyText"/>
      </w:pPr>
      <w:hyperlink r:id="rId172">
        <w:r>
          <w:rPr>
            <w:rStyle w:val="Hyperlink"/>
          </w:rPr>
          <w:t xml:space="preserve">HHS — Regra de segurança NRM</w:t>
        </w:r>
      </w:hyperlink>
    </w:p>
    <w:p>
      <w:pPr>
        <w:pStyle w:val="BodyText"/>
      </w:pPr>
      <w:hyperlink r:id="rId173">
        <w:r>
          <w:rPr>
            <w:rStyle w:val="Hyperlink"/>
          </w:rPr>
          <w:t xml:space="preserve">NIST SP 800-66 Rev. 2</w:t>
        </w:r>
      </w:hyperlink>
    </w:p>
    <w:p>
      <w:pPr>
        <w:pStyle w:val="BodyText"/>
      </w:pPr>
      <w:hyperlink r:id="rId127">
        <w:r>
          <w:rPr>
            <w:rStyle w:val="Hyperlink"/>
          </w:rPr>
          <w:t xml:space="preserve">HealthIT.gov — Ferramenta de Avaliação do Risco de Segurança</w:t>
        </w:r>
      </w:hyperlink>
    </w:p>
    <w:p>
      <w:pPr>
        <w:pStyle w:val="BodyText"/>
      </w:pPr>
      <w:hyperlink r:id="rId174">
        <w:r>
          <w:rPr>
            <w:rStyle w:val="Hyperlink"/>
          </w:rPr>
          <w:t xml:space="preserve">Documentação do Assistente CISO</w:t>
        </w:r>
      </w:hyperlink>
    </w:p>
    <w:p>
      <w:pPr>
        <w:pStyle w:val="BodyText"/>
      </w:pPr>
      <w:hyperlink r:id="rId97">
        <w:r>
          <w:rPr>
            <w:rStyle w:val="Hyperlink"/>
          </w:rPr>
          <w:t xml:space="preserve">Documentação wazuh</w:t>
        </w:r>
      </w:hyperlink>
    </w:p>
    <w:p>
      <w:pPr>
        <w:pStyle w:val="BodyText"/>
      </w:pPr>
      <w:hyperlink r:id="rId99">
        <w:r>
          <w:rPr>
            <w:rStyle w:val="Hyperlink"/>
          </w:rPr>
          <w:t xml:space="preserve">Documentação OpenSCAP</w:t>
        </w:r>
      </w:hyperlink>
    </w:p>
    <w:p>
      <w:pPr>
        <w:pStyle w:val="BodyText"/>
      </w:pPr>
      <w:hyperlink r:id="rId103">
        <w:r>
          <w:rPr>
            <w:rStyle w:val="Hyperlink"/>
          </w:rPr>
          <w:t xml:space="preserve">Documentação da edição comunitária de Greenbone</w:t>
        </w:r>
      </w:hyperlink>
    </w:p>
    <w:p>
      <w:pPr>
        <w:pStyle w:val="BodyText"/>
      </w:pPr>
      <w:hyperlink r:id="rId106">
        <w:r>
          <w:rPr>
            <w:rStyle w:val="Hyperlink"/>
          </w:rPr>
          <w:t xml:space="preserve">documentação de osquery</w:t>
        </w:r>
      </w:hyperlink>
    </w:p>
    <w:p>
      <w:pPr>
        <w:pStyle w:val="BodyText"/>
      </w:pPr>
      <w:hyperlink r:id="rId109">
        <w:r>
          <w:rPr>
            <w:rStyle w:val="Hyperlink"/>
          </w:rPr>
          <w:t xml:space="preserve">Documentação trivy</w:t>
        </w:r>
      </w:hyperlink>
    </w:p>
    <w:p>
      <w:pPr>
        <w:pStyle w:val="BodyText"/>
      </w:pPr>
      <w:hyperlink r:id="rId112">
        <w:r>
          <w:rPr>
            <w:rStyle w:val="Hyperlink"/>
          </w:rPr>
          <w:t xml:space="preserve">OWASP documentação ZAP</w:t>
        </w:r>
      </w:hyperlink>
    </w:p>
    <w:p>
      <w:pPr>
        <w:pStyle w:val="BodyText"/>
      </w:pPr>
      <w:hyperlink r:id="rId115">
        <w:r>
          <w:rPr>
            <w:rStyle w:val="Hyperlink"/>
          </w:rPr>
          <w:t xml:space="preserve">Documentação do keycloak</w:t>
        </w:r>
      </w:hyperlink>
    </w:p>
    <w:p>
      <w:pPr>
        <w:pStyle w:val="BodyText"/>
      </w:pPr>
      <w:hyperlink r:id="rId118">
        <w:r>
          <w:rPr>
            <w:rStyle w:val="Hyperlink"/>
          </w:rPr>
          <w:t xml:space="preserve">DefectDojo documentation</w:t>
        </w:r>
      </w:hyperlink>
    </w:p>
    <w:p>
      <w:pPr>
        <w:pStyle w:val="BodyText"/>
      </w:pPr>
      <w:hyperlink r:id="rId121">
        <w:r>
          <w:rPr>
            <w:rStyle w:val="Hyperlink"/>
          </w:rPr>
          <w:t xml:space="preserve">Documentação do Velociraptor</w:t>
        </w:r>
      </w:hyperlink>
    </w:p>
    <w:p>
      <w:pPr>
        <w:pStyle w:val="BodyText"/>
      </w:pPr>
      <w:hyperlink r:id="rId124">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3" Target="https://csrc.nist.gov/pubs/sp/800/66/r2/final" TargetMode="External" /><Relationship Type="http://schemas.openxmlformats.org/officeDocument/2006/relationships/hyperlink" Id="rId118" Target="https://docs.defectdojo.com/" TargetMode="External" /><Relationship Type="http://schemas.openxmlformats.org/officeDocument/2006/relationships/hyperlink" Id="rId121" Target="https://docs.velociraptor.app/" TargetMode="External" /><Relationship Type="http://schemas.openxmlformats.org/officeDocument/2006/relationships/hyperlink" Id="rId97" Target="https://documentation.wazuh.com/current/quickstart.html" TargetMode="External" /><Relationship Type="http://schemas.openxmlformats.org/officeDocument/2006/relationships/hyperlink" Id="rId103" Target="https://greenbone.github.io/docs/latest/" TargetMode="External" /><Relationship Type="http://schemas.openxmlformats.org/officeDocument/2006/relationships/hyperlink" Id="rId174" Target="https://intuitem.gitbook.io/ciso-assistant" TargetMode="External" /><Relationship Type="http://schemas.openxmlformats.org/officeDocument/2006/relationships/hyperlink" Id="rId106" Target="https://osquery.readthedocs.io/en/stable/" TargetMode="External" /><Relationship Type="http://schemas.openxmlformats.org/officeDocument/2006/relationships/hyperlink" Id="rId109" Target="https://trivy.dev/latest/" TargetMode="External" /><Relationship Type="http://schemas.openxmlformats.org/officeDocument/2006/relationships/hyperlink" Id="rId161" Target="https://www.ecfr.gov/current/title-45/subtitle-A/subchapter-C/part-160" TargetMode="External" /><Relationship Type="http://schemas.openxmlformats.org/officeDocument/2006/relationships/hyperlink" Id="rId162" Target="https://www.ecfr.gov/current/title-45/subtitle-A/subchapter-C/part-164" TargetMode="External" /><Relationship Type="http://schemas.openxmlformats.org/officeDocument/2006/relationships/hyperlink" Id="rId127" Target="https://www.healthit.gov/topic/privacy-security-and-hipaa/security-risk-assessment-tool" TargetMode="External" /><Relationship Type="http://schemas.openxmlformats.org/officeDocument/2006/relationships/hyperlink" Id="rId166" Target="https://www.hhs.gov/hipaa/for-professionals/breach-notification/index.html" TargetMode="External" /><Relationship Type="http://schemas.openxmlformats.org/officeDocument/2006/relationships/hyperlink" Id="rId168" Target="https://www.hhs.gov/hipaa/for-professionals/compliance-enforcement/audit/protocol/index.html" TargetMode="External" /><Relationship Type="http://schemas.openxmlformats.org/officeDocument/2006/relationships/hyperlink" Id="rId169" Target="https://www.hhs.gov/hipaa/for-professionals/covered-entities/sample-business-associate-agreement-provisions/index.html" TargetMode="External" /><Relationship Type="http://schemas.openxmlformats.org/officeDocument/2006/relationships/hyperlink" Id="rId163" Target="https://www.hhs.gov/hipaa/for-professionals/index.html" TargetMode="External" /><Relationship Type="http://schemas.openxmlformats.org/officeDocument/2006/relationships/hyperlink" Id="rId164" Target="https://www.hhs.gov/hipaa/for-professionals/privacy/index.html" TargetMode="External" /><Relationship Type="http://schemas.openxmlformats.org/officeDocument/2006/relationships/hyperlink" Id="rId167" Target="https://www.hhs.gov/hipaa/for-professionals/security/guidance/guidance-risk-analysis/index.html" TargetMode="External" /><Relationship Type="http://schemas.openxmlformats.org/officeDocument/2006/relationships/hyperlink" Id="rId172" Target="https://www.hhs.gov/hipaa/for-professionals/security/hipaa-security-rule-nprm/index.html" TargetMode="External" /><Relationship Type="http://schemas.openxmlformats.org/officeDocument/2006/relationships/hyperlink" Id="rId165" Target="https://www.hhs.gov/hipaa/for-professionals/security/index.html" TargetMode="External" /><Relationship Type="http://schemas.openxmlformats.org/officeDocument/2006/relationships/hyperlink" Id="rId171" Target="https://www.hhs.gov/hipaa/for-professionals/special-topics/reproductive-health/index.html" TargetMode="External" /><Relationship Type="http://schemas.openxmlformats.org/officeDocument/2006/relationships/hyperlink" Id="rId170" Target="https://www.hhs.gov/hipaa/part-2/index.html" TargetMode="External" /><Relationship Type="http://schemas.openxmlformats.org/officeDocument/2006/relationships/hyperlink" Id="rId115" Target="https://www.keycloak.org/guides" TargetMode="External" /><Relationship Type="http://schemas.openxmlformats.org/officeDocument/2006/relationships/hyperlink" Id="rId99" Target="https://www.open-scap.org/getting-started/" TargetMode="External" /><Relationship Type="http://schemas.openxmlformats.org/officeDocument/2006/relationships/hyperlink" Id="rId124" Target="https://www.openpolicyagent.org/docs" TargetMode="External" /><Relationship Type="http://schemas.openxmlformats.org/officeDocument/2006/relationships/hyperlink" Id="rId11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73" Target="https://csrc.nist.gov/pubs/sp/800/66/r2/final" TargetMode="External" /><Relationship Type="http://schemas.openxmlformats.org/officeDocument/2006/relationships/hyperlink" Id="rId118" Target="https://docs.defectdojo.com/" TargetMode="External" /><Relationship Type="http://schemas.openxmlformats.org/officeDocument/2006/relationships/hyperlink" Id="rId121" Target="https://docs.velociraptor.app/" TargetMode="External" /><Relationship Type="http://schemas.openxmlformats.org/officeDocument/2006/relationships/hyperlink" Id="rId97" Target="https://documentation.wazuh.com/current/quickstart.html" TargetMode="External" /><Relationship Type="http://schemas.openxmlformats.org/officeDocument/2006/relationships/hyperlink" Id="rId103" Target="https://greenbone.github.io/docs/latest/" TargetMode="External" /><Relationship Type="http://schemas.openxmlformats.org/officeDocument/2006/relationships/hyperlink" Id="rId174" Target="https://intuitem.gitbook.io/ciso-assistant" TargetMode="External" /><Relationship Type="http://schemas.openxmlformats.org/officeDocument/2006/relationships/hyperlink" Id="rId106" Target="https://osquery.readthedocs.io/en/stable/" TargetMode="External" /><Relationship Type="http://schemas.openxmlformats.org/officeDocument/2006/relationships/hyperlink" Id="rId109" Target="https://trivy.dev/latest/" TargetMode="External" /><Relationship Type="http://schemas.openxmlformats.org/officeDocument/2006/relationships/hyperlink" Id="rId161" Target="https://www.ecfr.gov/current/title-45/subtitle-A/subchapter-C/part-160" TargetMode="External" /><Relationship Type="http://schemas.openxmlformats.org/officeDocument/2006/relationships/hyperlink" Id="rId162" Target="https://www.ecfr.gov/current/title-45/subtitle-A/subchapter-C/part-164" TargetMode="External" /><Relationship Type="http://schemas.openxmlformats.org/officeDocument/2006/relationships/hyperlink" Id="rId127" Target="https://www.healthit.gov/topic/privacy-security-and-hipaa/security-risk-assessment-tool" TargetMode="External" /><Relationship Type="http://schemas.openxmlformats.org/officeDocument/2006/relationships/hyperlink" Id="rId166" Target="https://www.hhs.gov/hipaa/for-professionals/breach-notification/index.html" TargetMode="External" /><Relationship Type="http://schemas.openxmlformats.org/officeDocument/2006/relationships/hyperlink" Id="rId168" Target="https://www.hhs.gov/hipaa/for-professionals/compliance-enforcement/audit/protocol/index.html" TargetMode="External" /><Relationship Type="http://schemas.openxmlformats.org/officeDocument/2006/relationships/hyperlink" Id="rId169" Target="https://www.hhs.gov/hipaa/for-professionals/covered-entities/sample-business-associate-agreement-provisions/index.html" TargetMode="External" /><Relationship Type="http://schemas.openxmlformats.org/officeDocument/2006/relationships/hyperlink" Id="rId163" Target="https://www.hhs.gov/hipaa/for-professionals/index.html" TargetMode="External" /><Relationship Type="http://schemas.openxmlformats.org/officeDocument/2006/relationships/hyperlink" Id="rId164" Target="https://www.hhs.gov/hipaa/for-professionals/privacy/index.html" TargetMode="External" /><Relationship Type="http://schemas.openxmlformats.org/officeDocument/2006/relationships/hyperlink" Id="rId167" Target="https://www.hhs.gov/hipaa/for-professionals/security/guidance/guidance-risk-analysis/index.html" TargetMode="External" /><Relationship Type="http://schemas.openxmlformats.org/officeDocument/2006/relationships/hyperlink" Id="rId172" Target="https://www.hhs.gov/hipaa/for-professionals/security/hipaa-security-rule-nprm/index.html" TargetMode="External" /><Relationship Type="http://schemas.openxmlformats.org/officeDocument/2006/relationships/hyperlink" Id="rId165" Target="https://www.hhs.gov/hipaa/for-professionals/security/index.html" TargetMode="External" /><Relationship Type="http://schemas.openxmlformats.org/officeDocument/2006/relationships/hyperlink" Id="rId171" Target="https://www.hhs.gov/hipaa/for-professionals/special-topics/reproductive-health/index.html" TargetMode="External" /><Relationship Type="http://schemas.openxmlformats.org/officeDocument/2006/relationships/hyperlink" Id="rId170" Target="https://www.hhs.gov/hipaa/part-2/index.html" TargetMode="External" /><Relationship Type="http://schemas.openxmlformats.org/officeDocument/2006/relationships/hyperlink" Id="rId115" Target="https://www.keycloak.org/guides" TargetMode="External" /><Relationship Type="http://schemas.openxmlformats.org/officeDocument/2006/relationships/hyperlink" Id="rId99" Target="https://www.open-scap.org/getting-started/" TargetMode="External" /><Relationship Type="http://schemas.openxmlformats.org/officeDocument/2006/relationships/hyperlink" Id="rId124" Target="https://www.openpolicyagent.org/docs" TargetMode="External" /><Relationship Type="http://schemas.openxmlformats.org/officeDocument/2006/relationships/hyperlink" Id="rId11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2026-07-28T17:06:35Z</dcterms:created>
  <dcterms:modified xsi:type="dcterms:W3CDTF">2026-07-28T17:06:35Z</dcterms:modified>
</cp:coreProperties>
</file>

<file path=docProps/custom.xml><?xml version="1.0" encoding="utf-8"?>
<Properties xmlns="http://schemas.openxmlformats.org/officeDocument/2006/custom-properties" xmlns:vt="http://schemas.openxmlformats.org/officeDocument/2006/docPropsVTypes"/>
</file>