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55 — Gobierno de terceros, proveedores y cadena de suministro de IA</w:t>
      </w:r>
    </w:p>
    <w:p>
      <w:pPr>
        <w:spacing w:after="120"/>
      </w:pPr>
      <w:r>
        <w:t>Fuente controlada de publicación — es-419</w:t>
      </w:r>
    </w:p>
    <w:p>
      <w:pPr>
        <w:pStyle w:val="Heading2"/>
      </w:pPr>
      <w:r>
        <w:t>Propósito</w:t>
      </w:r>
    </w:p>
    <w:p>
      <w:pPr>
        <w:spacing w:after="120"/>
      </w:pPr>
      <w:r>
        <w:t>Establecer un marco práctico para gobernar proveedores de IA, modelos alojados, agentes, complementos, conectores, servidores MCP, proveedores de datos, subprocesadores y demás dependencias de la cadena de suministro durante selección, contratación, incorporación, operación, cambio, incidentes y salida. Deben distinguirse requisitos legales, obligaciones contractuales, expectativas supervisoras, marcos voluntarios y guías comunitarias.</w:t>
      </w:r>
    </w:p>
    <w:p>
      <w:pPr>
        <w:pStyle w:val="Heading2"/>
      </w:pPr>
      <w:r>
        <w:t>TP-01 — Inventario y materialidad</w:t>
      </w:r>
    </w:p>
    <w:p>
      <w:pPr>
        <w:spacing w:after="120"/>
      </w:pPr>
      <w:r>
        <w:t>Mantener inventario completo de proveedores, servicios, modelos, API, agentes, complementos, fuentes de datos, dependencias de alojamiento y cuartas partes; clasificar por criticidad, autonomía, sensibilidad de datos, consecuencia, concentración, sustituibilidad y exposición regulatoria.</w:t>
      </w:r>
    </w:p>
    <w:p>
      <w:pPr>
        <w:pStyle w:val="Heading2"/>
      </w:pPr>
      <w:r>
        <w:t>TP-02 — Debida diligencia previa</w:t>
      </w:r>
    </w:p>
    <w:p>
      <w:pPr>
        <w:spacing w:after="120"/>
      </w:pPr>
      <w:r>
        <w:t>Evaluar propiedad, viabilidad financiera, seguridad, privacidad, gobierno de IA, historial de incidentes, documentación, alojamiento, subcontratistas, continuidad y disponibilidad de evidencia.</w:t>
      </w:r>
    </w:p>
    <w:p>
      <w:pPr>
        <w:pStyle w:val="Heading2"/>
      </w:pPr>
      <w:r>
        <w:t>TP-03 — Aseguramiento técnico y de seguridad</w:t>
      </w:r>
    </w:p>
    <w:p>
      <w:pPr>
        <w:spacing w:after="120"/>
      </w:pPr>
      <w:r>
        <w:t>Evaluar control de acceso, aislamiento de inquilinos, cifrado, vulnerabilidades, desarrollo seguro, abuso de modelos/API, registros, monitoreo, respuesta a incidentes y evidencia independiente proporcional al riesgo.</w:t>
      </w:r>
    </w:p>
    <w:p>
      <w:pPr>
        <w:pStyle w:val="Heading2"/>
      </w:pPr>
      <w:r>
        <w:t>TP-04 — Privacidad y restricciones de uso de datos</w:t>
      </w:r>
    </w:p>
    <w:p>
      <w:pPr>
        <w:spacing w:after="120"/>
      </w:pPr>
      <w:r>
        <w:t>Documentar usos permitidos, entrenamiento/ajuste, retención, eliminación, uso secundario, transferencias, datos sensibles, subprocesadores y evidencia de devolución/eliminación al salir.</w:t>
      </w:r>
    </w:p>
    <w:p>
      <w:pPr>
        <w:pStyle w:val="Heading2"/>
      </w:pPr>
      <w:r>
        <w:t>TP-05 — Transparencia de modelo, versión y cambio</w:t>
      </w:r>
    </w:p>
    <w:p>
      <w:pPr>
        <w:spacing w:after="120"/>
      </w:pPr>
      <w:r>
        <w:t>Exigir identificación de versiones materiales, cambios de arquitectura, obsolescencia, cambios de comportamiento y controles de seguridad, con notificación suficiente para activar revalidación interna.</w:t>
      </w:r>
    </w:p>
    <w:p>
      <w:pPr>
        <w:pStyle w:val="Heading2"/>
      </w:pPr>
      <w:r>
        <w:t>TP-06 — Subprocesadores y cuartas partes</w:t>
      </w:r>
    </w:p>
    <w:p>
      <w:pPr>
        <w:spacing w:after="120"/>
      </w:pPr>
      <w:r>
        <w:t>Identificar dependencias materiales y establecer visibilidad, aprobación, notificación, obligaciones de flujo descendente y controles de continuidad/salida basados en riesgo.</w:t>
      </w:r>
    </w:p>
    <w:p>
      <w:pPr>
        <w:pStyle w:val="Heading2"/>
      </w:pPr>
      <w:r>
        <w:t>TP-07 — Alojamiento, residencia y transferencias</w:t>
      </w:r>
    </w:p>
    <w:p>
      <w:pPr>
        <w:spacing w:after="120"/>
      </w:pPr>
      <w:r>
        <w:t>Mapear regiones, ubicaciones de datos, planos de control, respaldos, conmutación por falla y mecanismos de transferencia; validar compromisos de residencia con evidencia técnica y contractual.</w:t>
      </w:r>
    </w:p>
    <w:p>
      <w:pPr>
        <w:pStyle w:val="Heading2"/>
      </w:pPr>
      <w:r>
        <w:t>TP-08 — Identidad, autorización y acción delegada</w:t>
      </w:r>
    </w:p>
    <w:p>
      <w:pPr>
        <w:spacing w:after="120"/>
      </w:pPr>
      <w:r>
        <w:t>Para agentes, complementos, conectores y proveedores MCP/herramientas, validar identidad, alcance de autorización, mínimo privilegio, autoridad delegada, límites transaccionales, revocación y trazabilidad.</w:t>
      </w:r>
    </w:p>
    <w:p>
      <w:pPr>
        <w:pStyle w:val="Heading2"/>
      </w:pPr>
      <w:r>
        <w:t>TP-09 — Integridad de la cadena de suministro de IA</w:t>
      </w:r>
    </w:p>
    <w:p>
      <w:pPr>
        <w:spacing w:after="120"/>
      </w:pPr>
      <w:r>
        <w:t>Evaluar procedencia de modelos, integridad de paquetes/dependencias, artefactos, imágenes, contenedores, bibliotecas, archivos de modelos, adaptadores, conjuntos de datos, prompts, complementos y canales de actualización; controlar sustitución, manipulación, envenenamiento y cambios no autorizados.</w:t>
      </w:r>
    </w:p>
    <w:p>
      <w:pPr>
        <w:pStyle w:val="Heading2"/>
      </w:pPr>
      <w:r>
        <w:t>TP-10 — Controles contractuales y derechos de evidencia</w:t>
      </w:r>
    </w:p>
    <w:p>
      <w:pPr>
        <w:spacing w:after="120"/>
      </w:pPr>
      <w:r>
        <w:t>Definir cláusulas para seguridad, privacidad, restricciones de uso de IA, acceso a auditoría/evidencia, notificación de incidentes, cambio material, subcontratistas, continuidad, terminación, devolución/eliminación de datos, cooperación y soporte regulatorio cuando corresponda.</w:t>
      </w:r>
    </w:p>
    <w:p>
      <w:pPr>
        <w:pStyle w:val="Heading2"/>
      </w:pPr>
      <w:r>
        <w:t>TP-11 — Afirmaciones de desempeño y seguridad</w:t>
      </w:r>
    </w:p>
    <w:p>
      <w:pPr>
        <w:spacing w:after="120"/>
      </w:pPr>
      <w:r>
        <w:t>Cuestionar afirmaciones materiales de precisión, robustez, seguridad, equidad, privacidad, certificaciones y benchmarks; distinguir evidencia verificada de afirmaciones del proveedor.</w:t>
      </w:r>
    </w:p>
    <w:p>
      <w:pPr>
        <w:pStyle w:val="Heading2"/>
      </w:pPr>
      <w:r>
        <w:t>TP-12 — Cambio y revalidación</w:t>
      </w:r>
    </w:p>
    <w:p>
      <w:pPr>
        <w:spacing w:after="120"/>
      </w:pPr>
      <w:r>
        <w:t>Definir activadores: cambio de modelo/versión, nuevo subprocesador, cambio de alojamiento, falla de control, incidente, cambio de uso de datos, cambio de propiedad, dificultad financiera, regresión material o nuevo requisito aplicable.</w:t>
      </w:r>
    </w:p>
    <w:p>
      <w:pPr>
        <w:pStyle w:val="Heading2"/>
      </w:pPr>
      <w:r>
        <w:t>TP-13 — Coordinación de incidentes y brechas</w:t>
      </w:r>
    </w:p>
    <w:p>
      <w:pPr>
        <w:spacing w:after="120"/>
      </w:pPr>
      <w:r>
        <w:t>Definir plazos de notificación, intercambio de evidencia, roles de contención, comunicaciones, cooperación forense, soporte regulatorio y acciones correctivas.</w:t>
      </w:r>
    </w:p>
    <w:p>
      <w:pPr>
        <w:pStyle w:val="Heading2"/>
      </w:pPr>
      <w:r>
        <w:t>TP-14 — Riesgo de concentración y dependencia sistémica</w:t>
      </w:r>
    </w:p>
    <w:p>
      <w:pPr>
        <w:spacing w:after="120"/>
      </w:pPr>
      <w:r>
        <w:t>Evaluar concentración en un proveedor, dependencias comunes de nube/modelo fundacional, bibliotecas compartidas, proveedores de datos comunes, concentración regional y fallas correlacionadas.</w:t>
      </w:r>
    </w:p>
    <w:p>
      <w:pPr>
        <w:pStyle w:val="Heading2"/>
      </w:pPr>
      <w:r>
        <w:t>TP-15 — Continuidad, portabilidad y salida</w:t>
      </w:r>
    </w:p>
    <w:p>
      <w:pPr>
        <w:spacing w:after="120"/>
      </w:pPr>
      <w:r>
        <w:t>Validar respaldo/restauración, proveedores alternos, portabilidad de datos/modelos, formatos de exportación, migración, revocación de credenciales, eliminación de datos y remoción de dependencias residuales.</w:t>
      </w:r>
    </w:p>
    <w:p>
      <w:pPr>
        <w:pStyle w:val="Heading2"/>
      </w:pPr>
      <w:r>
        <w:t>TP-16 — Monitoreo continuo</w:t>
      </w:r>
    </w:p>
    <w:p>
      <w:pPr>
        <w:spacing w:after="120"/>
      </w:pPr>
      <w:r>
        <w:t>Monitorear señales de riesgo, cambios de servicio, avisos, acciones regulatorias, cambios de versión, degradación de SLA, incidentes, vencimiento de evidencia y hallazgos abiertos.</w:t>
      </w:r>
    </w:p>
    <w:p>
      <w:pPr>
        <w:pStyle w:val="Heading2"/>
      </w:pPr>
      <w:r>
        <w:t>TP-17 — Excepciones y riesgo residual</w:t>
      </w:r>
    </w:p>
    <w:p>
      <w:pPr>
        <w:spacing w:after="120"/>
      </w:pPr>
      <w:r>
        <w:t>Registrar desviaciones aprobadas, justificación, controles compensatorios, propietario de riesgo, vencimiento, activadores de revisión y evidencia de cierre.</w:t>
      </w:r>
    </w:p>
    <w:p>
      <w:pPr>
        <w:pStyle w:val="Heading2"/>
      </w:pPr>
      <w:r>
        <w:t>TP-18 — Aseguramiento posterior a la salida</w:t>
      </w:r>
    </w:p>
    <w:p>
      <w:pPr>
        <w:spacing w:after="120"/>
      </w:pPr>
      <w:r>
        <w:t>Confirmar retiro de acceso, revocación de credenciales, devolución/eliminación de datos, disposición de modelos o adaptadores, efectos sobre subprocesadores, excepciones de retención y preservación de evidencia.</w:t>
      </w:r>
    </w:p>
    <w:p>
      <w:pPr>
        <w:pStyle w:val="Heading2"/>
      </w:pPr>
      <w:r>
        <w:t>Evidencia requerida</w:t>
      </w:r>
    </w:p>
    <w:p>
      <w:pPr>
        <w:spacing w:after="120"/>
      </w:pPr>
      <w:r>
        <w:t>EV-01 inventario/materialidad; EV-02 debida diligencia; EV-03 evidencia de seguridad/privacidad; EV-04 arquitectura/flujos; EV-05 registro de cuartas partes; EV-06 registro de versión/cambio; EV-07 matriz contractual; EV-08 cuestionamiento de afirmaciones; EV-09 playbook de incidentes; EV-10 prueba de continuidad/salida; EV-11 concentración; EV-12 monitoreo; EV-13 excepción; EV-14 terminación/eliminación.</w:t>
      </w:r>
    </w:p>
    <w:p>
      <w:pPr>
        <w:pStyle w:val="Heading2"/>
      </w:pPr>
      <w:r>
        <w:t>Escenarios</w:t>
      </w:r>
    </w:p>
    <w:p>
      <w:pPr>
        <w:spacing w:after="120"/>
      </w:pPr>
      <w:r>
        <w:t>Cambio silencioso de modelo; nuevo país/región; cambio de términos de datos; aumento de permisos; compromiso de dependencia común; afirmación no sustentada; caída crítica sin migración; incidente coordinado; salida sin evidencia completa de eliminación; concentración en un proveedor común.</w:t>
      </w:r>
    </w:p>
    <w:p>
      <w:pPr>
        <w:pStyle w:val="Heading2"/>
      </w:pPr>
      <w:r>
        <w:t>Regla de liberación</w:t>
      </w:r>
    </w:p>
    <w:p>
      <w:pPr>
        <w:spacing w:after="120"/>
      </w:pPr>
      <w:r>
        <w:t>Las afirmaciones del proveedor no son evidencia independiente salvo sustento verificable. La publicación falla cerrada ante defectos sustantivos de fuentes, localización, artefactos, procedencia, renderizado o QA retenida.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