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36 — Implementación controlada de la LGPD de Brasil</w:t>
      </w:r>
    </w:p>
    <w:p>
      <w:pPr>
        <w:spacing w:after="120"/>
      </w:pPr>
      <w:r>
        <w:t>**Idioma:** Español de América Latina (es-419)</w:t>
      </w:r>
    </w:p>
    <w:p>
      <w:pPr>
        <w:spacing w:after="120"/>
      </w:pPr>
      <w:r>
        <w:t>**Línea base controlada:** Lei nº 13.709/2018 (LGPD) vigente y regulaciones vinculantes de la ANPD verificadas el 31-08-2026.</w:t>
      </w:r>
    </w:p>
    <w:p>
      <w:pPr>
        <w:spacing w:after="120"/>
      </w:pPr>
      <w:r>
        <w:t>**Límite:** Estatuto, regulación vinculante de ANPD, guía/enforcement, ley sectorial, contrato y práctica organizacional permanecen separados. Esta es una traducción de proyecto no oficial y no constituye asesoría jurídica ni aprobación regulatoria.</w:t>
      </w:r>
    </w:p>
    <w:p>
      <w:pPr>
        <w:pStyle w:val="Heading2"/>
      </w:pPr>
      <w:r>
        <w:t>Chapter 01 — Propósito, alcance y jerarquía controlada de fuentes</w:t>
      </w:r>
    </w:p>
    <w:p>
      <w:pPr>
        <w:spacing w:after="120"/>
      </w:pPr>
      <w:r>
        <w:t>Use la LGPD consolidada y los instrumentos vinculantes de la ANPD como fuentes controlantes para tratamiento cubierto. Clasifique guía, enforcement, reglas sectoriales, contratos y procedimientos internos por su estatus y fecha.</w:t>
      </w:r>
    </w:p>
    <w:p>
      <w:pPr>
        <w:spacing w:after="120"/>
      </w:pPr>
      <w:r>
        <w:t>Mantenga registro fechado de fuentes, responsable de aplicabilidad, change watch y evidencia de reverificación previa al release.</w:t>
      </w:r>
    </w:p>
    <w:p>
      <w:pPr>
        <w:pStyle w:val="Heading2"/>
      </w:pPr>
      <w:r>
        <w:t>Chapter 02 — Aplicabilidad, alcance territorial y análisis jurisdiccional</w:t>
      </w:r>
    </w:p>
    <w:p>
      <w:pPr>
        <w:spacing w:after="120"/>
      </w:pPr>
      <w:r>
        <w:t>Documente por qué una actividad está dentro o fuera del alcance territorial de la LGPD, considerando tratamiento en Brasil, oferta a personas en Brasil y recolección en Brasil, además de exclusiones y overlays sectoriales.</w:t>
      </w:r>
    </w:p>
    <w:p>
      <w:pPr>
        <w:spacing w:after="120"/>
      </w:pPr>
      <w:r>
        <w:t>Conserve evaluación de aplicabilidad, hechos, reviewer responsable, excepciones y triggers de reevaluación.</w:t>
      </w:r>
    </w:p>
    <w:p>
      <w:pPr>
        <w:pStyle w:val="Heading2"/>
      </w:pPr>
      <w:r>
        <w:t>Chapter 03 — Datos personales, datos sensibles y conceptos de tratamiento</w:t>
      </w:r>
    </w:p>
    <w:p>
      <w:pPr>
        <w:spacing w:after="120"/>
      </w:pPr>
      <w:r>
        <w:t>Mantenga definiciones controladas para datos personales, sensibles, anonimizados, tratamiento, base de datos, titular, controlador, operador y conceptos relacionados. Resuelva conflictos terminológicos antes de que lleguen a notices, contratos, sistemas o incidentes.</w:t>
      </w:r>
    </w:p>
    <w:p>
      <w:pPr>
        <w:spacing w:after="120"/>
      </w:pPr>
      <w:r>
        <w:t>Conserve glosario, reglas de clasificación, ejemplos, decisiones y cambios terminológicos.</w:t>
      </w:r>
    </w:p>
    <w:p>
      <w:pPr>
        <w:pStyle w:val="Heading2"/>
      </w:pPr>
      <w:r>
        <w:t>Chapter 04 — Controlador, operador, encarregado y roles de accountability</w:t>
      </w:r>
    </w:p>
    <w:p>
      <w:pPr>
        <w:spacing w:after="120"/>
      </w:pPr>
      <w:r>
        <w:t>Identifique responsabilidades reales de controlador y operador y mantenga la gobernanza del encarregado/DPO requerida por LGPD y ANPD. La asignación debe seguir autoridad decisoria y hechos, no solo etiquetas contractuales.</w:t>
      </w:r>
    </w:p>
    <w:p>
      <w:pPr>
        <w:spacing w:after="120"/>
      </w:pPr>
      <w:r>
        <w:t>Conserve matrices de roles, nombramientos, canales de contacto, instrucciones, escalamiento y registros de accountability.</w:t>
      </w:r>
    </w:p>
    <w:p>
      <w:pPr>
        <w:pStyle w:val="Heading2"/>
      </w:pPr>
      <w:r>
        <w:t>Chapter 05 — Modelo de gobernanza, políticas y responsabilidades de privacidad</w:t>
      </w:r>
    </w:p>
    <w:p>
      <w:pPr>
        <w:spacing w:after="120"/>
      </w:pPr>
      <w:r>
        <w:t>Establezca gobernanza aprobada con accountability ejecutiva, ownership de políticas, roles operativos, escalamiento de riesgo, assurance y management review periódico. Integre privacy con security, legal, producto, procurement, data, HR y negocio.</w:t>
      </w:r>
    </w:p>
    <w:p>
      <w:pPr>
        <w:spacing w:after="120"/>
      </w:pPr>
      <w:r>
        <w:t>Conserve policies, charters, RACI, minutas, issues y corrective actions.</w:t>
      </w:r>
    </w:p>
    <w:p>
      <w:pPr>
        <w:pStyle w:val="Heading2"/>
      </w:pPr>
      <w:r>
        <w:t>Chapter 06 — Inventario y registros de tratamiento</w:t>
      </w:r>
    </w:p>
    <w:p>
      <w:pPr>
        <w:spacing w:after="120"/>
      </w:pPr>
      <w:r>
        <w:t>Mantenga inventario actual de actividades, sistemas, datasets, propósitos, categorías, datos sensibles, titulares, bases legales, destinatarios, operadores, transferencias, retención, security controls y owners.</w:t>
      </w:r>
    </w:p>
    <w:p>
      <w:pPr>
        <w:spacing w:after="120"/>
      </w:pPr>
      <w:r>
        <w:t>Actualice el inventario cuando cambien productos, vendors, propósitos, flujos, tecnologías o condiciones legales.</w:t>
      </w:r>
    </w:p>
    <w:p>
      <w:pPr>
        <w:pStyle w:val="Heading2"/>
      </w:pPr>
      <w:r>
        <w:t>Chapter 07 — Bases legales y análisis de propósito/necesidad</w:t>
      </w:r>
    </w:p>
    <w:p>
      <w:pPr>
        <w:spacing w:after="120"/>
      </w:pPr>
      <w:r>
        <w:t>Registre la base legal LGPD aplicable a cada propósito material y pruebe por separado legitimidad, adecuación y necesidad. No sustituya una base por consentimiento ni asuma que una base cubre usos secundarios no relacionados.</w:t>
      </w:r>
    </w:p>
    <w:p>
      <w:pPr>
        <w:spacing w:after="120"/>
      </w:pPr>
      <w:r>
        <w:t>Conserve lawful-basis register, propósitos, necessity assessments, approvals, excepciones y fechas de revisión.</w:t>
      </w:r>
    </w:p>
    <w:p>
      <w:pPr>
        <w:pStyle w:val="Heading2"/>
      </w:pPr>
      <w:r>
        <w:t>Chapter 08 — Gobernanza de consentimiento y retiro</w:t>
      </w:r>
    </w:p>
    <w:p>
      <w:pPr>
        <w:spacing w:after="120"/>
      </w:pPr>
      <w:r>
        <w:t>Cuando el consentimiento sea la base, diseñe captura demostrable y específica y permita retiro mediante procesos controlados. Prevenga dark patterns, propósitos agrupados o continuidad de tratamiento tras retiro válido sin otra base documentada.</w:t>
      </w:r>
    </w:p>
    <w:p>
      <w:pPr>
        <w:spacing w:after="120"/>
      </w:pPr>
      <w:r>
        <w:t>Conserve texto/versión, timestamp, origen, retiro, propagación downstream, excepciones y pruebas.</w:t>
      </w:r>
    </w:p>
    <w:p>
      <w:pPr>
        <w:pStyle w:val="Heading2"/>
      </w:pPr>
      <w:r>
        <w:t>Chapter 09 — Legitimate-interest assessment y balancing</w:t>
      </w:r>
    </w:p>
    <w:p>
      <w:pPr>
        <w:spacing w:after="120"/>
      </w:pPr>
      <w:r>
        <w:t>Cuando se use interés legítimo, documente propósito, necesidad, expectativas, impactos, safeguards, transparencia y conclusión de balance. Escale usos con intrusión relevante, datos sensibles, niños, monitoring, profiling o uso secundario inesperado.</w:t>
      </w:r>
    </w:p>
    <w:p>
      <w:pPr>
        <w:spacing w:after="120"/>
      </w:pPr>
      <w:r>
        <w:t>Conserve assessment, hechos, controles mitigantes, aprobación y triggers de cambio.</w:t>
      </w:r>
    </w:p>
    <w:p>
      <w:pPr>
        <w:pStyle w:val="Heading2"/>
      </w:pPr>
      <w:r>
        <w:t>Chapter 10 — Gobernanza de datos de niños y adolescentes</w:t>
      </w:r>
    </w:p>
    <w:p>
      <w:pPr>
        <w:spacing w:after="120"/>
      </w:pPr>
      <w:r>
        <w:t>Trate datos de niños y adolescentes como área de gobernanza reforzada con análisis específico de aplicabilidad e interés superior. Preserve edad, procesos parentales cuando apliquen, transparencia, minimización, seguridad y product safeguards.</w:t>
      </w:r>
    </w:p>
    <w:p>
      <w:pPr>
        <w:spacing w:after="120"/>
      </w:pPr>
      <w:r>
        <w:t>Conserve evaluación, notices, base/consent analysis, design review, pruebas, quejas y remediación.</w:t>
      </w:r>
    </w:p>
    <w:p>
      <w:pPr>
        <w:pStyle w:val="Heading2"/>
      </w:pPr>
      <w:r>
        <w:t>Chapter 11 — Operaciones de derechos de titulares</w:t>
      </w:r>
    </w:p>
    <w:p>
      <w:pPr>
        <w:spacing w:after="120"/>
      </w:pPr>
      <w:r>
        <w:t>Opere intake, validación de identidad, routing, búsqueda, decisión, respuesta, corrección, portability/change-watch, eliminación, objeción y escalamiento documentados. No prometa derechos o deadlines superiores a la fuente vigente salvo que se identifiquen como policy commitment.</w:t>
      </w:r>
    </w:p>
    <w:p>
      <w:pPr>
        <w:spacing w:after="120"/>
      </w:pPr>
      <w:r>
        <w:t>Conserve request logs, identity evidence, búsquedas, decisiones, respuestas, excepciones y métricas.</w:t>
      </w:r>
    </w:p>
    <w:p>
      <w:pPr>
        <w:pStyle w:val="Heading2"/>
      </w:pPr>
      <w:r>
        <w:t>Chapter 12 — Notices de transparencia y deberes de información</w:t>
      </w:r>
    </w:p>
    <w:p>
      <w:pPr>
        <w:spacing w:after="120"/>
      </w:pPr>
      <w:r>
        <w:t>Mantenga notices alineados con tratamiento real, propósitos, sharing, derechos, identidad del controlador, contacto del encarregado, transferencias y automatización material. Reconcilie notices con inventarios, contratos, productos y cambios.</w:t>
      </w:r>
    </w:p>
    <w:p>
      <w:pPr>
        <w:spacing w:after="120"/>
      </w:pPr>
      <w:r>
        <w:t>Conserve versiones, approvals, fechas, change records, readability review y reconciliación con sistemas.</w:t>
      </w:r>
    </w:p>
    <w:p>
      <w:pPr>
        <w:pStyle w:val="Heading2"/>
      </w:pPr>
      <w:r>
        <w:t>Chapter 13 — Calidad, minimización, retención, eliminación y anonimización</w:t>
      </w:r>
    </w:p>
    <w:p>
      <w:pPr>
        <w:spacing w:after="120"/>
      </w:pPr>
      <w:r>
        <w:t>Recolecte y retenga solo datos necesarios, mantenga controles razonables de calidad y haga cumplir retention/deletion defendible. Trate claims de anonimización como conclusiones técnicas/jurídicas que requieren evidencia de riesgo de reidentificación.</w:t>
      </w:r>
    </w:p>
    <w:p>
      <w:pPr>
        <w:spacing w:after="120"/>
      </w:pPr>
      <w:r>
        <w:t>Conserve schedules, deletion evidence, quality controls, anonymization assessments, excepciones y backup/disposal handling.</w:t>
      </w:r>
    </w:p>
    <w:p>
      <w:pPr>
        <w:pStyle w:val="Heading2"/>
      </w:pPr>
      <w:r>
        <w:t>Chapter 14 — Privacy by design/default y change management</w:t>
      </w:r>
    </w:p>
    <w:p>
      <w:pPr>
        <w:spacing w:after="120"/>
      </w:pPr>
      <w:r>
        <w:t>Integre privacidad en gates de producto, sistema, procurement, analytics, AI y procesos. Exija privacy review ante cambios materiales en propósito, categorías, destinatarios, transfers, profiling, monitoring o tecnología de alto riesgo.</w:t>
      </w:r>
    </w:p>
    <w:p>
      <w:pPr>
        <w:spacing w:after="120"/>
      </w:pPr>
      <w:r>
        <w:t>Conserve checklists, architecture decisions, DPIA/risk artifacts, approvals, test results y change tickets.</w:t>
      </w:r>
    </w:p>
    <w:p>
      <w:pPr>
        <w:pStyle w:val="Heading2"/>
      </w:pPr>
      <w:r>
        <w:t>Chapter 15 — Salvaguardas de seguridad y controles administrativos/técnicos</w:t>
      </w:r>
    </w:p>
    <w:p>
      <w:pPr>
        <w:spacing w:after="120"/>
      </w:pPr>
      <w:r>
        <w:t>Implemente medidas administrativas, técnicas y físicas razonables según sensibilidad, volumen, amenazas, contexto e impacto. Integre IAM, configuración segura, logging, vulnerability management, encryption, resilience, secure development, monitoring e incident response.</w:t>
      </w:r>
    </w:p>
    <w:p>
      <w:pPr>
        <w:spacing w:after="120"/>
      </w:pPr>
      <w:r>
        <w:t>Conserve mappings, testing evidence, vulnerabilities, excepciones, remediación y risk acceptance.</w:t>
      </w:r>
    </w:p>
    <w:p>
      <w:pPr>
        <w:pStyle w:val="Heading2"/>
      </w:pPr>
      <w:r>
        <w:t>Chapter 16 — Incidentes y notificación a ANPD/titulares</w:t>
      </w:r>
    </w:p>
    <w:p>
      <w:pPr>
        <w:spacing w:after="120"/>
      </w:pPr>
      <w:r>
        <w:t>Use proceso documentado alineado con la regulación vigente de comunicación de incidentes de ANPD. Determine si hay datos personales, evalúe daño/riesgo y criterios de notificación, preserve timing y coordine comunicaciones cuando sean legalmente requeridas.</w:t>
      </w:r>
    </w:p>
    <w:p>
      <w:pPr>
        <w:spacing w:after="120"/>
      </w:pPr>
      <w:r>
        <w:t>Conserve hechos, assessment, autoridad decisoria, notifications, timestamps, remediación y lessons learned.</w:t>
      </w:r>
    </w:p>
    <w:p>
      <w:pPr>
        <w:pStyle w:val="Heading2"/>
      </w:pPr>
      <w:r>
        <w:t>Chapter 17 — Risk assessment, privacy impact y tratamiento de alto riesgo</w:t>
      </w:r>
    </w:p>
    <w:p>
      <w:pPr>
        <w:spacing w:after="120"/>
      </w:pPr>
      <w:r>
        <w:t>Aplique evaluaciones de riesgo e impacto a tratamiento material o high-risk, incluyendo escala, sensibles, grupos vulnerables, monitoring, profiling, nuevas tecnologías y decisiones automatizadas significativas. Use requisitos/solicitudes ANPD vigentes sobre impact reports cuando apliquen.</w:t>
      </w:r>
    </w:p>
    <w:p>
      <w:pPr>
        <w:spacing w:after="120"/>
      </w:pPr>
      <w:r>
        <w:t>Conserve metodología, assessment, residual risk, safeguards, approvals y review cycle.</w:t>
      </w:r>
    </w:p>
    <w:p>
      <w:pPr>
        <w:pStyle w:val="Heading2"/>
      </w:pPr>
      <w:r>
        <w:t>Chapter 18 — Transferencias internacionales y mecanismos</w:t>
      </w:r>
    </w:p>
    <w:p>
      <w:pPr>
        <w:spacing w:after="120"/>
      </w:pPr>
      <w:r>
        <w:t>Aplique LGPD y la regulación vigente de ANPD a transfers cubiertas. Determine alcance, base legal, mecanismo válido, transparencia, onward transfer y safeguards. Preserve la rectificación de 2025 y decisiones de adecuación vigentes en source control.</w:t>
      </w:r>
    </w:p>
    <w:p>
      <w:pPr>
        <w:spacing w:after="120"/>
      </w:pPr>
      <w:r>
        <w:t>Conserve transfer inventory, mecanismo, adequacy decision cuando se use, cláusulas o mecanismo aprobado, due diligence, contrato y reassessment.</w:t>
      </w:r>
    </w:p>
    <w:p>
      <w:pPr>
        <w:pStyle w:val="Heading2"/>
      </w:pPr>
      <w:r>
        <w:t>Chapter 19 — Lifecycle de vendors, operadores y subprocesadores</w:t>
      </w:r>
    </w:p>
    <w:p>
      <w:pPr>
        <w:spacing w:after="120"/>
      </w:pPr>
      <w:r>
        <w:t>Evalúe riesgo de operadores, subprocessors, cloud/SaaS y otros recipients antes y durante la relación. Defina instrucciones, propósito, security, rights assistance, incidents, transfers, retention, audit rights y exit.</w:t>
      </w:r>
    </w:p>
    <w:p>
      <w:pPr>
        <w:spacing w:after="120"/>
      </w:pPr>
      <w:r>
        <w:t>Conserve due diligence, contratos, operator register, subprocessor changes, monitoring, issues y termination evidence.</w:t>
      </w:r>
    </w:p>
    <w:p>
      <w:pPr>
        <w:pStyle w:val="Heading2"/>
      </w:pPr>
      <w:r>
        <w:t>Chapter 20 — Contratos, instrucciones, confidencialidad y responsabilidad compartida</w:t>
      </w:r>
    </w:p>
    <w:p>
      <w:pPr>
        <w:spacing w:after="120"/>
      </w:pPr>
      <w:r>
        <w:t>Convierta requirements en instrucciones y términos claros sin permitir que etiquetas contractuales sustituyan roles legales reales. Identifique responsabilidades compartidas, security duties, rights support, transfers, incident cooperation y evidence retention.</w:t>
      </w:r>
    </w:p>
    <w:p>
      <w:pPr>
        <w:spacing w:after="120"/>
      </w:pPr>
      <w:r>
        <w:t>Conserve executed terms, responsibility matrix, instruction history, confidentiality controls y amendments.</w:t>
      </w:r>
    </w:p>
    <w:p>
      <w:pPr>
        <w:pStyle w:val="Heading2"/>
      </w:pPr>
      <w:r>
        <w:t>Chapter 21 — Cloud, SaaS, managed service y procesamiento transfronterizo</w:t>
      </w:r>
    </w:p>
    <w:p>
      <w:pPr>
        <w:spacing w:after="120"/>
      </w:pPr>
      <w:r>
        <w:t>Mapee ubicaciones de datos, admins, subprocessors, telemetry, backups, support access, encryption, deletion, resilience y flujos internacionales. Resuelva transfer mechanism y operator responsibilities antes de producción.</w:t>
      </w:r>
    </w:p>
    <w:p>
      <w:pPr>
        <w:spacing w:after="120"/>
      </w:pPr>
      <w:r>
        <w:t>Conserve cloud inventory, architecture/data-flow maps, shared responsibility, configurations, contracts, transfer assessments y exit plans.</w:t>
      </w:r>
    </w:p>
    <w:p>
      <w:pPr>
        <w:pStyle w:val="Heading2"/>
      </w:pPr>
      <w:r>
        <w:t>Chapter 22 — Marketing, profiling, decisiones automatizadas y analytics</w:t>
      </w:r>
    </w:p>
    <w:p>
      <w:pPr>
        <w:spacing w:after="120"/>
      </w:pPr>
      <w:r>
        <w:t>Gobierne marketing, profiling, analytics, personalización y automated decisions con base legal, transparencia, minimización, calidad, rights support, review mechanisms y anti-discrimination controls cuando apliquen. No exagere derechos legales sin análisis vigente.</w:t>
      </w:r>
    </w:p>
    <w:p>
      <w:pPr>
        <w:spacing w:after="120"/>
      </w:pPr>
      <w:r>
        <w:t>Conserve use-case assessments, rules/models, notices, rights handling, review evidence, métricas y complaints/remediation.</w:t>
      </w:r>
    </w:p>
    <w:p>
      <w:pPr>
        <w:pStyle w:val="Heading2"/>
      </w:pPr>
      <w:r>
        <w:t>Chapter 23 — Privacidad laboral, acceso, monitoring y training</w:t>
      </w:r>
    </w:p>
    <w:p>
      <w:pPr>
        <w:spacing w:after="120"/>
      </w:pPr>
      <w:r>
        <w:t>Aplique LGPD a datos de empleados, candidatos y contractors separando requisitos laborales. Limite access y monitoring a propósitos documentados con proporcionalidad, transparencia, retención y escalation.</w:t>
      </w:r>
    </w:p>
    <w:p>
      <w:pPr>
        <w:spacing w:after="120"/>
      </w:pPr>
      <w:r>
        <w:t>Conserve workforce notices, access reviews, monitoring assessments, retention, training, investigations y exceptions.</w:t>
      </w:r>
    </w:p>
    <w:p>
      <w:pPr>
        <w:pStyle w:val="Heading2"/>
      </w:pPr>
      <w:r>
        <w:t>Chapter 24 — Registros físicos y datos no digitales</w:t>
      </w:r>
    </w:p>
    <w:p>
      <w:pPr>
        <w:spacing w:after="120"/>
      </w:pPr>
      <w:r>
        <w:t>Incluya archivos en papel, visitors, medios físicos, correo y otros tratamientos no digitales cuando aplique LGPD. Controle storage, access, transport, copying, retention, destruction e incident handling.</w:t>
      </w:r>
    </w:p>
    <w:p>
      <w:pPr>
        <w:spacing w:after="120"/>
      </w:pPr>
      <w:r>
        <w:t>Conserve inventories, access controls, disposal certificates, facility reviews e incident evidence.</w:t>
      </w:r>
    </w:p>
    <w:p>
      <w:pPr>
        <w:pStyle w:val="Heading2"/>
      </w:pPr>
      <w:r>
        <w:t>Chapter 25 — Agentes de pequeño porte y tratamiento diferenciado</w:t>
      </w:r>
    </w:p>
    <w:p>
      <w:pPr>
        <w:spacing w:after="120"/>
      </w:pPr>
      <w:r>
        <w:t>Determine si las reglas ANPD para pequeños agentes aplican y qué simplificaciones concretas existen. No trate el estatus como exención general de principios LGPD, seguridad, derechos u obligaciones no dispensadas.</w:t>
      </w:r>
    </w:p>
    <w:p>
      <w:pPr>
        <w:spacing w:after="120"/>
      </w:pPr>
      <w:r>
        <w:t>Conserve eligibility analysis, simplifications, retained obligations, review triggers y evidence.</w:t>
      </w:r>
    </w:p>
    <w:p>
      <w:pPr>
        <w:pStyle w:val="Heading2"/>
      </w:pPr>
      <w:r>
        <w:t>Chapter 26 — Regulaciones ANPD, guía, inspecciones, sanciones y readiness</w:t>
      </w:r>
    </w:p>
    <w:p>
      <w:pPr>
        <w:spacing w:after="120"/>
      </w:pPr>
      <w:r>
        <w:t>Mantenga obligation register que distinga regulations vinculantes de guidance, FAQs, consultas, enforcement facts y agenda futura. Prepare evidence para fiscalización y sanciones sin convertir casos ajenos en reglas universales.</w:t>
      </w:r>
    </w:p>
    <w:p>
      <w:pPr>
        <w:spacing w:after="120"/>
      </w:pPr>
      <w:r>
        <w:t>Conserve regulatory register, inspection protocol, legal holds, response packages, sanction analysis, findings y corrective actions.</w:t>
      </w:r>
    </w:p>
    <w:p>
      <w:pPr>
        <w:pStyle w:val="Heading2"/>
      </w:pPr>
      <w:r>
        <w:t>Chapter 27 — Mapping de overlays sectoriales y leyes adyacentes</w:t>
      </w:r>
    </w:p>
    <w:p>
      <w:pPr>
        <w:spacing w:after="120"/>
      </w:pPr>
      <w:r>
        <w:t>Mapee requisitos consumer, employment, financial, health, telecom, digital platform, child protection, cybersecurity, records y otros de Brasil separados de LGPD. Identifique controles adicionales sin atribuirlos a fuente equivocada.</w:t>
      </w:r>
    </w:p>
    <w:p>
      <w:pPr>
        <w:spacing w:after="120"/>
      </w:pPr>
      <w:r>
        <w:t>Conserve overlay matrix, owners, citations, applicability decisions, conflicts y change watch.</w:t>
      </w:r>
    </w:p>
    <w:p>
      <w:pPr>
        <w:pStyle w:val="Heading2"/>
      </w:pPr>
      <w:r>
        <w:t>Chapter 28 — Arquitectura de evidencia, audit trail y accountability</w:t>
      </w:r>
    </w:p>
    <w:p>
      <w:pPr>
        <w:spacing w:after="120"/>
      </w:pPr>
      <w:r>
        <w:t>Diseñe trazabilidad entre requirement, owner, procedure, system/control, test, exception, remediation y decision. Proteja integrity, access, retention, confidentiality y version history.</w:t>
      </w:r>
    </w:p>
    <w:p>
      <w:pPr>
        <w:spacing w:after="120"/>
      </w:pPr>
      <w:r>
        <w:t>Conserve evidence indexes, control maps, workpapers, approvals, logs, findings, remediation y provenance.</w:t>
      </w:r>
    </w:p>
    <w:p>
      <w:pPr>
        <w:pStyle w:val="Heading2"/>
      </w:pPr>
      <w:r>
        <w:t>Chapter 29 — Excepciones, remediación, risk acceptance y reporting</w:t>
      </w:r>
    </w:p>
    <w:p>
      <w:pPr>
        <w:spacing w:after="120"/>
      </w:pPr>
      <w:r>
        <w:t>Exija excepciones documentadas con scope, rationale, compensating controls, owner, approval, duration, residual risk y expiration. Escale issues vencidos o de alto impacto a management y liderazgo legal/privacy.</w:t>
      </w:r>
    </w:p>
    <w:p>
      <w:pPr>
        <w:spacing w:after="120"/>
      </w:pPr>
      <w:r>
        <w:t>Conserve exception registers, corrective actions, risk acceptances, dashboards, escalation y closure evidence.</w:t>
      </w:r>
    </w:p>
    <w:p>
      <w:pPr>
        <w:pStyle w:val="Heading2"/>
      </w:pPr>
      <w:r>
        <w:t>Chapter 30 — Regulatory change watch y triggers de reevaluación ANPD</w:t>
      </w:r>
    </w:p>
    <w:p>
      <w:pPr>
        <w:spacing w:after="120"/>
      </w:pPr>
      <w:r>
        <w:t>Monitoree LGPD consolidada, regulaciones ANPD, amendments/rectifications, adequacy decisions, agenda regulatoria, priority topics, guidance material y cambios organizacionales que afecten aplicabilidad.</w:t>
      </w:r>
    </w:p>
    <w:p>
      <w:pPr>
        <w:spacing w:after="120"/>
      </w:pPr>
      <w:r>
        <w:t>Conserve snapshots fechados, change assessments, owners, implementation plans, effective dates y candidate-supersession decisions.</w:t>
      </w:r>
    </w:p>
    <w:p>
      <w:pPr>
        <w:pStyle w:val="Heading2"/>
      </w:pPr>
      <w:r>
        <w:t>Chapter 31 — Exact-hash review, localización, provenance y release evidence</w:t>
      </w:r>
    </w:p>
    <w:p>
      <w:pPr>
        <w:spacing w:after="120"/>
      </w:pPr>
      <w:r>
        <w:t>Congele la fuente controlada antes de candidate generation. Vincule artefactos EN/es-419/pt-BR DOCX/PDF a SHA-256 exactos y preserve accessibility, render, source, localization, workflow-security y release-QA evidence.</w:t>
      </w:r>
    </w:p>
    <w:p>
      <w:pPr>
        <w:spacing w:after="120"/>
      </w:pPr>
      <w:r>
        <w:t>Todo cambio material post-freeze requiere supersession, regeneración, re-hashing y re-review de gates afectados.</w:t>
      </w:r>
    </w:p>
    <w:p>
      <w:pPr>
        <w:pStyle w:val="Heading2"/>
      </w:pPr>
      <w:r>
        <w:t>Chapter 32 — Roadmap, madurez y reverificación de release</w:t>
      </w:r>
    </w:p>
    <w:p>
      <w:pPr>
        <w:spacing w:after="120"/>
      </w:pPr>
      <w:r>
        <w:t>Implemente por fases: applicability/inventory, governance/lawful bases, rights/notices, security/incidents, transfers/vendors, high-risk processing y assurance/evidence. Mida madurez mediante outcomes respaldados por evidencia.</w:t>
      </w:r>
    </w:p>
    <w:p>
      <w:pPr>
        <w:spacing w:after="120"/>
      </w:pPr>
      <w:r>
        <w:t>Antes de publicar, reverifique LGPD consolidada, regulaciones/rectifications ANPD, incident rules, DPO, transfers/adequacy, small-agent treatment, sanctions/enforcement y overlays materiales. La publicación permanece secuencial después de Manual 35 y requiere todos los gates determinísticos en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