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36 — Implementação Controlada da LGPD do Brasil</w:t>
      </w:r>
    </w:p>
    <w:p>
      <w:pPr>
        <w:spacing w:after="120"/>
      </w:pPr>
      <w:r>
        <w:t>**Idioma:** Português do Brasil (pt-BR)</w:t>
      </w:r>
    </w:p>
    <w:p>
      <w:pPr>
        <w:spacing w:after="120"/>
      </w:pPr>
      <w:r>
        <w:t>**Linha de base controlada:** Lei nº 13.709/2018 (LGPD) vigente e regulamentos vinculantes da ANPD verificados em 31-08-2026.</w:t>
      </w:r>
    </w:p>
    <w:p>
      <w:pPr>
        <w:spacing w:after="120"/>
      </w:pPr>
      <w:r>
        <w:t>**Limite:** Estatuto, regulamento vinculante da ANPD, orientação/enforcement, lei setorial, contrato e prática organizacional permanecem separados. Esta é uma tradução de projeto não oficial e não constitui aconselhamento jurídico nem aprovação regulatória.</w:t>
      </w:r>
    </w:p>
    <w:p>
      <w:pPr>
        <w:pStyle w:val="Heading2"/>
      </w:pPr>
      <w:r>
        <w:t>Chapter 01 — Objetivo, escopo e hierarquia controlada de fontes</w:t>
      </w:r>
    </w:p>
    <w:p>
      <w:pPr>
        <w:spacing w:after="120"/>
      </w:pPr>
      <w:r>
        <w:t>Use a LGPD consolidada e os instrumentos vinculantes da ANPD como fontes controlantes para tratamento coberto. Classifique orientações, enforcement, regras setoriais, contratos e procedimentos internos por status e data.</w:t>
      </w:r>
    </w:p>
    <w:p>
      <w:pPr>
        <w:spacing w:after="120"/>
      </w:pPr>
      <w:r>
        <w:t>Mantenha registro datado de fontes, responsável pela aplicabilidade, change watch e evidência de reverificação antes do release.</w:t>
      </w:r>
    </w:p>
    <w:p>
      <w:pPr>
        <w:pStyle w:val="Heading2"/>
      </w:pPr>
      <w:r>
        <w:t>Chapter 02 — Aplicabilidade, alcance territorial e análise jurisdicional</w:t>
      </w:r>
    </w:p>
    <w:p>
      <w:pPr>
        <w:spacing w:after="120"/>
      </w:pPr>
      <w:r>
        <w:t>Documente por que uma atividade está dentro ou fora do alcance territorial da LGPD, considerando tratamento no Brasil, oferta a pessoas no Brasil e coleta no Brasil, além de exclusões e overlays setoriais.</w:t>
      </w:r>
    </w:p>
    <w:p>
      <w:pPr>
        <w:spacing w:after="120"/>
      </w:pPr>
      <w:r>
        <w:t>Preserve avaliação de aplicabilidade, fatos, reviewer responsável, exceções e gatilhos de reavaliação.</w:t>
      </w:r>
    </w:p>
    <w:p>
      <w:pPr>
        <w:pStyle w:val="Heading2"/>
      </w:pPr>
      <w:r>
        <w:t>Chapter 03 — Dados pessoais, dados sensíveis e conceitos de tratamento</w:t>
      </w:r>
    </w:p>
    <w:p>
      <w:pPr>
        <w:spacing w:after="120"/>
      </w:pPr>
      <w:r>
        <w:t>Mantenha definições controladas para dados pessoais, sensíveis, anonimizados, tratamento, banco de dados, titular, controlador, operador e conceitos relacionados. Resolva conflitos terminológicos antes que cheguem a notices, contratos, sistemas ou incidentes.</w:t>
      </w:r>
    </w:p>
    <w:p>
      <w:pPr>
        <w:spacing w:after="120"/>
      </w:pPr>
      <w:r>
        <w:t>Preserve glossário, regras de classificação, exemplos, decisões e histórico terminológico.</w:t>
      </w:r>
    </w:p>
    <w:p>
      <w:pPr>
        <w:pStyle w:val="Heading2"/>
      </w:pPr>
      <w:r>
        <w:t>Chapter 04 — Controlador, operador, encarregado e papéis de accountability</w:t>
      </w:r>
    </w:p>
    <w:p>
      <w:pPr>
        <w:spacing w:after="120"/>
      </w:pPr>
      <w:r>
        <w:t>Identifique responsabilidades reais de controlador e operador e mantenha a governança do encarregado/DPO exigida pela LGPD e ANPD. A atribuição deve seguir autoridade decisória e fatos, não apenas rótulos contratuais.</w:t>
      </w:r>
    </w:p>
    <w:p>
      <w:pPr>
        <w:spacing w:after="120"/>
      </w:pPr>
      <w:r>
        <w:t>Preserve matrizes de papéis, nomeações, canais de contato, instruções, escalonamento e registros de accountability.</w:t>
      </w:r>
    </w:p>
    <w:p>
      <w:pPr>
        <w:pStyle w:val="Heading2"/>
      </w:pPr>
      <w:r>
        <w:t>Chapter 05 — Modelo de governança, políticas e responsabilidades de privacidade</w:t>
      </w:r>
    </w:p>
    <w:p>
      <w:pPr>
        <w:spacing w:after="120"/>
      </w:pPr>
      <w:r>
        <w:t>Estabeleça governança aprovada com accountability executiva, ownership de políticas, papéis operacionais, escalonamento de risco, assurance e management review periódico. Integre privacy com security, legal, produto, procurement, data, RH e negócio.</w:t>
      </w:r>
    </w:p>
    <w:p>
      <w:pPr>
        <w:spacing w:after="120"/>
      </w:pPr>
      <w:r>
        <w:t>Preserve policies, charters, RACI, atas, issues e corrective actions.</w:t>
      </w:r>
    </w:p>
    <w:p>
      <w:pPr>
        <w:pStyle w:val="Heading2"/>
      </w:pPr>
      <w:r>
        <w:t>Chapter 06 — Inventário e registros de tratamento</w:t>
      </w:r>
    </w:p>
    <w:p>
      <w:pPr>
        <w:spacing w:after="120"/>
      </w:pPr>
      <w:r>
        <w:t>Mantenha inventário atual de atividades, sistemas, datasets, finalidades, categorias, dados sensíveis, titulares, bases legais, destinatários, operadores, transferências, retenção, security controls e owners.</w:t>
      </w:r>
    </w:p>
    <w:p>
      <w:pPr>
        <w:spacing w:after="120"/>
      </w:pPr>
      <w:r>
        <w:t>Atualize o inventário quando mudarem produtos, vendors, finalidades, fluxos, tecnologias ou condições legais.</w:t>
      </w:r>
    </w:p>
    <w:p>
      <w:pPr>
        <w:pStyle w:val="Heading2"/>
      </w:pPr>
      <w:r>
        <w:t>Chapter 07 — Bases legais e análise de finalidade/necessidade</w:t>
      </w:r>
    </w:p>
    <w:p>
      <w:pPr>
        <w:spacing w:after="120"/>
      </w:pPr>
      <w:r>
        <w:t>Registre a base legal LGPD aplicável a cada finalidade material e teste separadamente legitimidade, adequação e necessidade. Não substitua outra base por consentimento nem presuma que uma base cobre usos secundários não relacionados.</w:t>
      </w:r>
    </w:p>
    <w:p>
      <w:pPr>
        <w:spacing w:after="120"/>
      </w:pPr>
      <w:r>
        <w:t>Preserve lawful-basis register, finalidades, necessity assessments, approvals, exceções e datas de revisão.</w:t>
      </w:r>
    </w:p>
    <w:p>
      <w:pPr>
        <w:pStyle w:val="Heading2"/>
      </w:pPr>
      <w:r>
        <w:t>Chapter 08 — Governança do consentimento e retirada</w:t>
      </w:r>
    </w:p>
    <w:p>
      <w:pPr>
        <w:spacing w:after="120"/>
      </w:pPr>
      <w:r>
        <w:t>Quando consentimento for a base, projete coleta demonstrável e específica e permita retirada por processos controlados. Evite dark patterns, finalidades agrupadas ou continuidade de tratamento após retirada válida sem outra base documentada.</w:t>
      </w:r>
    </w:p>
    <w:p>
      <w:pPr>
        <w:spacing w:after="120"/>
      </w:pPr>
      <w:r>
        <w:t>Preserve texto/versão, timestamp, origem, retirada, propagação downstream, exceções e testes.</w:t>
      </w:r>
    </w:p>
    <w:p>
      <w:pPr>
        <w:pStyle w:val="Heading2"/>
      </w:pPr>
      <w:r>
        <w:t>Chapter 09 — Legitimate-interest assessment e balancing</w:t>
      </w:r>
    </w:p>
    <w:p>
      <w:pPr>
        <w:spacing w:after="120"/>
      </w:pPr>
      <w:r>
        <w:t>Quando legítimo interesse for utilizado, documente finalidade, necessidade, expectativas, impactos, safeguards, transparência e conclusão de balanceamento. Escale usos com intrusão relevante, dados sensíveis, crianças, monitoring, profiling ou uso secundário inesperado.</w:t>
      </w:r>
    </w:p>
    <w:p>
      <w:pPr>
        <w:spacing w:after="120"/>
      </w:pPr>
      <w:r>
        <w:t>Preserve assessment, fatos, controles mitigadores, aprovação e gatilhos de mudança.</w:t>
      </w:r>
    </w:p>
    <w:p>
      <w:pPr>
        <w:pStyle w:val="Heading2"/>
      </w:pPr>
      <w:r>
        <w:t>Chapter 10 — Governança de dados de crianças e adolescentes</w:t>
      </w:r>
    </w:p>
    <w:p>
      <w:pPr>
        <w:spacing w:after="120"/>
      </w:pPr>
      <w:r>
        <w:t>Trate dados de crianças e adolescentes como área de governança reforçada com análise específica de aplicabilidade e melhor interesse. Preserve idade, processos parentais quando aplicáveis, transparência, minimização, segurança e product safeguards.</w:t>
      </w:r>
    </w:p>
    <w:p>
      <w:pPr>
        <w:spacing w:after="120"/>
      </w:pPr>
      <w:r>
        <w:t>Preserve avaliação, notices, análise de base/consentimento, design review, testes, reclamações e remediação.</w:t>
      </w:r>
    </w:p>
    <w:p>
      <w:pPr>
        <w:pStyle w:val="Heading2"/>
      </w:pPr>
      <w:r>
        <w:t>Chapter 11 — Operações de direitos dos titulares</w:t>
      </w:r>
    </w:p>
    <w:p>
      <w:pPr>
        <w:spacing w:after="120"/>
      </w:pPr>
      <w:r>
        <w:t>Opere intake, validação de identidade, routing, busca, decisão, resposta, correção, portability/change-watch, eliminação, oposição e escalonamento documentados. Não prometa direitos ou prazos além da fonte vigente salvo quando identificados como policy commitment.</w:t>
      </w:r>
    </w:p>
    <w:p>
      <w:pPr>
        <w:spacing w:after="120"/>
      </w:pPr>
      <w:r>
        <w:t>Preserve request logs, identity evidence, buscas, decisões, respostas, exceções e métricas.</w:t>
      </w:r>
    </w:p>
    <w:p>
      <w:pPr>
        <w:pStyle w:val="Heading2"/>
      </w:pPr>
      <w:r>
        <w:t>Chapter 12 — Notices de transparência e deveres de informação</w:t>
      </w:r>
    </w:p>
    <w:p>
      <w:pPr>
        <w:spacing w:after="120"/>
      </w:pPr>
      <w:r>
        <w:t>Mantenha notices alinhados ao tratamento real, finalidades, sharing, direitos, identidade do controlador, contato do encarregado, transferências e automação material. Reconcilie notices com inventários, contratos, produtos e mudanças.</w:t>
      </w:r>
    </w:p>
    <w:p>
      <w:pPr>
        <w:spacing w:after="120"/>
      </w:pPr>
      <w:r>
        <w:t>Preserve versões, approvals, datas, change records, readability review e reconciliação com sistemas.</w:t>
      </w:r>
    </w:p>
    <w:p>
      <w:pPr>
        <w:pStyle w:val="Heading2"/>
      </w:pPr>
      <w:r>
        <w:t>Chapter 13 — Qualidade, minimização, retenção, eliminação e anonimização</w:t>
      </w:r>
    </w:p>
    <w:p>
      <w:pPr>
        <w:spacing w:after="120"/>
      </w:pPr>
      <w:r>
        <w:t>Colete e retenha apenas dados necessários, mantenha controles razoáveis de qualidade e aplique retention/deletion defensável. Trate claims de anonimização como conclusões técnicas/jurídicas que exigem evidência sobre risco de reidentificação.</w:t>
      </w:r>
    </w:p>
    <w:p>
      <w:pPr>
        <w:spacing w:after="120"/>
      </w:pPr>
      <w:r>
        <w:t>Preserve schedules, deletion evidence, quality controls, anonymization assessments, exceções e backup/disposal handling.</w:t>
      </w:r>
    </w:p>
    <w:p>
      <w:pPr>
        <w:pStyle w:val="Heading2"/>
      </w:pPr>
      <w:r>
        <w:t>Chapter 14 — Privacy by design/default e change management</w:t>
      </w:r>
    </w:p>
    <w:p>
      <w:pPr>
        <w:spacing w:after="120"/>
      </w:pPr>
      <w:r>
        <w:t>Integre privacidade aos gates de produto, sistema, procurement, analytics, IA e processos. Exija privacy review diante de mudanças materiais em finalidade, categorias, destinatários, transfers, profiling, monitoring ou tecnologia de alto risco.</w:t>
      </w:r>
    </w:p>
    <w:p>
      <w:pPr>
        <w:spacing w:after="120"/>
      </w:pPr>
      <w:r>
        <w:t>Preserve checklists, architecture decisions, DPIA/risk artifacts, approvals, test results e change tickets.</w:t>
      </w:r>
    </w:p>
    <w:p>
      <w:pPr>
        <w:pStyle w:val="Heading2"/>
      </w:pPr>
      <w:r>
        <w:t>Chapter 15 — Salvaguardas de segurança e controles administrativos/técnicos</w:t>
      </w:r>
    </w:p>
    <w:p>
      <w:pPr>
        <w:spacing w:after="120"/>
      </w:pPr>
      <w:r>
        <w:t>Implemente medidas administrativas, técnicas e físicas razoáveis conforme sensibilidade, volume, ameaças, contexto e impacto. Integre IAM, configuração segura, logging, vulnerability management, encryption, resilience, secure development, monitoring e incident response.</w:t>
      </w:r>
    </w:p>
    <w:p>
      <w:pPr>
        <w:spacing w:after="120"/>
      </w:pPr>
      <w:r>
        <w:t>Preserve mappings, testing evidence, vulnerabilities, exceções, remediação e risk acceptance.</w:t>
      </w:r>
    </w:p>
    <w:p>
      <w:pPr>
        <w:pStyle w:val="Heading2"/>
      </w:pPr>
      <w:r>
        <w:t>Chapter 16 — Incidentes e comunicação à ANPD/titulares</w:t>
      </w:r>
    </w:p>
    <w:p>
      <w:pPr>
        <w:spacing w:after="120"/>
      </w:pPr>
      <w:r>
        <w:t>Use processo documentado alinhado ao regulamento vigente de comunicação de incidentes da ANPD. Determine se há dados pessoais, avalie dano/risco e critérios de notificação, preserve timing e coordene comunicações quando legalmente exigidas.</w:t>
      </w:r>
    </w:p>
    <w:p>
      <w:pPr>
        <w:spacing w:after="120"/>
      </w:pPr>
      <w:r>
        <w:t>Preserve fatos, assessment, autoridade decisória, notifications, timestamps, remediação e lessons learned.</w:t>
      </w:r>
    </w:p>
    <w:p>
      <w:pPr>
        <w:pStyle w:val="Heading2"/>
      </w:pPr>
      <w:r>
        <w:t>Chapter 17 — Risk assessment, privacy impact e tratamento de alto risco</w:t>
      </w:r>
    </w:p>
    <w:p>
      <w:pPr>
        <w:spacing w:after="120"/>
      </w:pPr>
      <w:r>
        <w:t>Aplique avaliações de risco e impacto a tratamento material ou high-risk, incluindo escala, dados sensíveis, grupos vulneráveis, monitoring, profiling, novas tecnologias e decisões automatizadas significativas. Use requisitos/solicitações ANPD vigentes sobre impact reports quando aplicáveis.</w:t>
      </w:r>
    </w:p>
    <w:p>
      <w:pPr>
        <w:spacing w:after="120"/>
      </w:pPr>
      <w:r>
        <w:t>Preserve metodologia, assessment, residual risk, safeguards, approvals e review cycle.</w:t>
      </w:r>
    </w:p>
    <w:p>
      <w:pPr>
        <w:pStyle w:val="Heading2"/>
      </w:pPr>
      <w:r>
        <w:t>Chapter 18 — Transferências internacionais e mecanismos</w:t>
      </w:r>
    </w:p>
    <w:p>
      <w:pPr>
        <w:spacing w:after="120"/>
      </w:pPr>
      <w:r>
        <w:t>Aplique a LGPD e o regulamento vigente da ANPD às transferências cobertas. Determine alcance, base legal, mecanismo válido, transparência, onward transfer e safeguards. Preserve a retificação de 2025 e decisões de adequação vigentes no source control.</w:t>
      </w:r>
    </w:p>
    <w:p>
      <w:pPr>
        <w:spacing w:after="120"/>
      </w:pPr>
      <w:r>
        <w:t>Preserve transfer inventory, mecanismo, adequacy decision quando usado, cláusulas ou mecanismo aprovado, due diligence, contrato e reassessment.</w:t>
      </w:r>
    </w:p>
    <w:p>
      <w:pPr>
        <w:pStyle w:val="Heading2"/>
      </w:pPr>
      <w:r>
        <w:t>Chapter 19 — Lifecycle de vendors, operadores e suboperadores</w:t>
      </w:r>
    </w:p>
    <w:p>
      <w:pPr>
        <w:spacing w:after="120"/>
      </w:pPr>
      <w:r>
        <w:t>Avalie risco de operadores, subprocessors, cloud/SaaS e outros recipients antes e durante a relação. Defina instruções, finalidade, security, rights assistance, incidents, transfers, retention, audit rights e exit.</w:t>
      </w:r>
    </w:p>
    <w:p>
      <w:pPr>
        <w:spacing w:after="120"/>
      </w:pPr>
      <w:r>
        <w:t>Preserve due diligence, contratos, operator register, subprocessor changes, monitoring, issues e termination evidence.</w:t>
      </w:r>
    </w:p>
    <w:p>
      <w:pPr>
        <w:pStyle w:val="Heading2"/>
      </w:pPr>
      <w:r>
        <w:t>Chapter 20 — Contratos, instruções, confidencialidade e responsabilidade compartilhada</w:t>
      </w:r>
    </w:p>
    <w:p>
      <w:pPr>
        <w:spacing w:after="120"/>
      </w:pPr>
      <w:r>
        <w:t>Converta requisitos em instruções e termos claros sem permitir que rótulos contratuais substituam papéis legais reais. Identifique responsabilidades compartilhadas, security duties, rights support, transfers, incident cooperation e evidence retention.</w:t>
      </w:r>
    </w:p>
    <w:p>
      <w:pPr>
        <w:spacing w:after="120"/>
      </w:pPr>
      <w:r>
        <w:t>Preserve executed terms, responsibility matrix, instruction history, confidentiality controls e amendments.</w:t>
      </w:r>
    </w:p>
    <w:p>
      <w:pPr>
        <w:pStyle w:val="Heading2"/>
      </w:pPr>
      <w:r>
        <w:t>Chapter 21 — Cloud, SaaS, managed service e processamento transfronteiriço</w:t>
      </w:r>
    </w:p>
    <w:p>
      <w:pPr>
        <w:spacing w:after="120"/>
      </w:pPr>
      <w:r>
        <w:t>Mapeie localizações de dados, admins, subprocessors, telemetry, backups, support access, encryption, deletion, resilience e fluxos internacionais. Resolva transfer mechanism e operator responsibilities antes de produção.</w:t>
      </w:r>
    </w:p>
    <w:p>
      <w:pPr>
        <w:spacing w:after="120"/>
      </w:pPr>
      <w:r>
        <w:t>Preserve cloud inventory, architecture/data-flow maps, shared responsibility, configurations, contracts, transfer assessments e exit plans.</w:t>
      </w:r>
    </w:p>
    <w:p>
      <w:pPr>
        <w:pStyle w:val="Heading2"/>
      </w:pPr>
      <w:r>
        <w:t>Chapter 22 — Marketing, profiling, decisões automatizadas e analytics</w:t>
      </w:r>
    </w:p>
    <w:p>
      <w:pPr>
        <w:spacing w:after="120"/>
      </w:pPr>
      <w:r>
        <w:t>Governe marketing, profiling, analytics, personalização e automated decisions com base legal, transparência, minimização, qualidade, rights support, review mechanisms e anti-discrimination controls quando aplicáveis. Não exagere direitos legais sem análise vigente.</w:t>
      </w:r>
    </w:p>
    <w:p>
      <w:pPr>
        <w:spacing w:after="120"/>
      </w:pPr>
      <w:r>
        <w:t>Preserve use-case assessments, rules/models, notices, rights handling, review evidence, métricas e complaints/remediation.</w:t>
      </w:r>
    </w:p>
    <w:p>
      <w:pPr>
        <w:pStyle w:val="Heading2"/>
      </w:pPr>
      <w:r>
        <w:t>Chapter 23 — Privacidade laboral, acesso, monitoring e training</w:t>
      </w:r>
    </w:p>
    <w:p>
      <w:pPr>
        <w:spacing w:after="120"/>
      </w:pPr>
      <w:r>
        <w:t>Aplique LGPD a dados de empregados, candidatos e contractors separando requisitos trabalhistas. Limite access e monitoring a finalidades documentadas com proporcionalidade, transparência, retenção e escalation.</w:t>
      </w:r>
    </w:p>
    <w:p>
      <w:pPr>
        <w:spacing w:after="120"/>
      </w:pPr>
      <w:r>
        <w:t>Preserve workforce notices, access reviews, monitoring assessments, retention, training, investigations e exceptions.</w:t>
      </w:r>
    </w:p>
    <w:p>
      <w:pPr>
        <w:pStyle w:val="Heading2"/>
      </w:pPr>
      <w:r>
        <w:t>Chapter 24 — Registros físicos e dados não digitais</w:t>
      </w:r>
    </w:p>
    <w:p>
      <w:pPr>
        <w:spacing w:after="120"/>
      </w:pPr>
      <w:r>
        <w:t>Inclua arquivos em papel, visitantes, mídias físicas, correio e outros tratamentos não digitais quando a LGPD se aplicar. Controle storage, access, transport, copying, retention, destruction e incident handling.</w:t>
      </w:r>
    </w:p>
    <w:p>
      <w:pPr>
        <w:spacing w:after="120"/>
      </w:pPr>
      <w:r>
        <w:t>Preserve inventories, access controls, disposal certificates, facility reviews e incident evidence.</w:t>
      </w:r>
    </w:p>
    <w:p>
      <w:pPr>
        <w:pStyle w:val="Heading2"/>
      </w:pPr>
      <w:r>
        <w:t>Chapter 25 — Agentes de pequeno porte e tratamento diferenciado</w:t>
      </w:r>
    </w:p>
    <w:p>
      <w:pPr>
        <w:spacing w:after="120"/>
      </w:pPr>
      <w:r>
        <w:t>Determine se as regras ANPD para agentes de pequeno porte se aplicam e quais simplificações concretas existem. Não trate esse status como isenção geral de princípios LGPD, segurança, direitos ou obrigações não dispensadas.</w:t>
      </w:r>
    </w:p>
    <w:p>
      <w:pPr>
        <w:spacing w:after="120"/>
      </w:pPr>
      <w:r>
        <w:t>Preserve eligibility analysis, simplifications, retained obligations, review triggers e evidence.</w:t>
      </w:r>
    </w:p>
    <w:p>
      <w:pPr>
        <w:pStyle w:val="Heading2"/>
      </w:pPr>
      <w:r>
        <w:t>Chapter 26 — Regulamentos ANPD, orientação, inspeções, sanções e readiness</w:t>
      </w:r>
    </w:p>
    <w:p>
      <w:pPr>
        <w:spacing w:after="120"/>
      </w:pPr>
      <w:r>
        <w:t>Mantenha obligation register distinguindo regulations vinculantes de guidance, FAQs, consultas, enforcement facts e agenda futura. Prepare evidence para fiscalização e sanções sem converter casos de terceiros em regras universais.</w:t>
      </w:r>
    </w:p>
    <w:p>
      <w:pPr>
        <w:spacing w:after="120"/>
      </w:pPr>
      <w:r>
        <w:t>Preserve regulatory register, inspection protocol, legal holds, response packages, sanction analysis, findings e corrective actions.</w:t>
      </w:r>
    </w:p>
    <w:p>
      <w:pPr>
        <w:pStyle w:val="Heading2"/>
      </w:pPr>
      <w:r>
        <w:t>Chapter 27 — Mapping de overlays setoriais e leis adjacentes</w:t>
      </w:r>
    </w:p>
    <w:p>
      <w:pPr>
        <w:spacing w:after="120"/>
      </w:pPr>
      <w:r>
        <w:t>Mapeie requisitos consumer, employment, financial, health, telecom, digital platform, child protection, cybersecurity, records e outros do Brasil separados da LGPD. Identifique controles adicionais sem atribuí-los à fonte errada.</w:t>
      </w:r>
    </w:p>
    <w:p>
      <w:pPr>
        <w:spacing w:after="120"/>
      </w:pPr>
      <w:r>
        <w:t>Preserve overlay matrix, owners, citations, applicability decisions, conflicts e change watch.</w:t>
      </w:r>
    </w:p>
    <w:p>
      <w:pPr>
        <w:pStyle w:val="Heading2"/>
      </w:pPr>
      <w:r>
        <w:t>Chapter 28 — Arquitetura de evidência, audit trail e accountability</w:t>
      </w:r>
    </w:p>
    <w:p>
      <w:pPr>
        <w:spacing w:after="120"/>
      </w:pPr>
      <w:r>
        <w:t>Projete rastreabilidade entre requirement, owner, procedure, system/control, test, exception, remediation e decision. Proteja integrity, access, retention, confidentiality e version history.</w:t>
      </w:r>
    </w:p>
    <w:p>
      <w:pPr>
        <w:spacing w:after="120"/>
      </w:pPr>
      <w:r>
        <w:t>Preserve evidence indexes, control maps, workpapers, approvals, logs, findings, remediation e provenance.</w:t>
      </w:r>
    </w:p>
    <w:p>
      <w:pPr>
        <w:pStyle w:val="Heading2"/>
      </w:pPr>
      <w:r>
        <w:t>Chapter 29 — Exceções, remediação, risk acceptance e reporting</w:t>
      </w:r>
    </w:p>
    <w:p>
      <w:pPr>
        <w:spacing w:after="120"/>
      </w:pPr>
      <w:r>
        <w:t>Exija exceções documentadas com scope, rationale, compensating controls, owner, approval, duration, residual risk e expiration. Escale issues vencidos ou de alto impacto a management e liderança legal/privacy.</w:t>
      </w:r>
    </w:p>
    <w:p>
      <w:pPr>
        <w:spacing w:after="120"/>
      </w:pPr>
      <w:r>
        <w:t>Preserve exception registers, corrective actions, risk acceptances, dashboards, escalation e closure evidence.</w:t>
      </w:r>
    </w:p>
    <w:p>
      <w:pPr>
        <w:pStyle w:val="Heading2"/>
      </w:pPr>
      <w:r>
        <w:t>Chapter 30 — Regulatory change watch e gatilhos de reavaliação ANPD</w:t>
      </w:r>
    </w:p>
    <w:p>
      <w:pPr>
        <w:spacing w:after="120"/>
      </w:pPr>
      <w:r>
        <w:t>Monitore LGPD consolidada, regulamentos ANPD, amendments/rectifications, adequacy decisions, agenda regulatória, priority topics, guidance material e mudanças organizacionais que afetem aplicabilidade.</w:t>
      </w:r>
    </w:p>
    <w:p>
      <w:pPr>
        <w:spacing w:after="120"/>
      </w:pPr>
      <w:r>
        <w:t>Preserve snapshots datados, change assessments, owners, implementation plans, effective dates e candidate-supersession decisions.</w:t>
      </w:r>
    </w:p>
    <w:p>
      <w:pPr>
        <w:pStyle w:val="Heading2"/>
      </w:pPr>
      <w:r>
        <w:t>Chapter 31 — Exact-hash review, localização, provenance e release evidence</w:t>
      </w:r>
    </w:p>
    <w:p>
      <w:pPr>
        <w:spacing w:after="120"/>
      </w:pPr>
      <w:r>
        <w:t>Congele a fonte controlada antes de candidate generation. Vincule artefatos EN/es-419/pt-BR DOCX/PDF a SHA-256 exatos e preserve accessibility, render, source, localization, workflow-security e release-QA evidence.</w:t>
      </w:r>
    </w:p>
    <w:p>
      <w:pPr>
        <w:spacing w:after="120"/>
      </w:pPr>
      <w:r>
        <w:t>Toda mudança material pós-freeze exige supersession, regeneração, re-hashing e re-review dos gates afetados.</w:t>
      </w:r>
    </w:p>
    <w:p>
      <w:pPr>
        <w:pStyle w:val="Heading2"/>
      </w:pPr>
      <w:r>
        <w:t>Chapter 32 — Roadmap, maturidade e reverificação de release</w:t>
      </w:r>
    </w:p>
    <w:p>
      <w:pPr>
        <w:spacing w:after="120"/>
      </w:pPr>
      <w:r>
        <w:t>Implemente em fases: applicability/inventory, governance/lawful bases, rights/notices, security/incidents, transfers/vendors, high-risk processing e assurance/evidence. Meça maturidade por outcomes respaldados por evidência.</w:t>
      </w:r>
    </w:p>
    <w:p>
      <w:pPr>
        <w:spacing w:after="120"/>
      </w:pPr>
      <w:r>
        <w:t>Antes da publicação, reverifique LGPD consolidada, regulations/rectifications ANPD, incident rules, DPO, transfers/adequacy, small-agent treatment, sanctions/enforcement e overlays materiais. A publicação permanece sequencial após o Manual 35 e exige todos os gates determinísticos em verde.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