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54 — Gestão de Risco de Modelos de IA e Validação Independente</w:t>
      </w:r>
    </w:p>
    <w:p>
      <w:pPr>
        <w:spacing w:after="120"/>
      </w:pPr>
      <w:r>
        <w:t>Fonte controlada de publicação — português do Brasil (pt-BR)</w:t>
      </w:r>
    </w:p>
    <w:p>
      <w:pPr>
        <w:spacing w:after="120"/>
      </w:pPr>
      <w:r>
        <w:t>Data de verificação: 1 de setembro de 2026</w:t>
      </w:r>
    </w:p>
    <w:p>
      <w:pPr>
        <w:spacing w:after="120"/>
      </w:pPr>
      <w:r>
        <w:t>Status de liberação: fonte candidata</w:t>
      </w:r>
    </w:p>
    <w:p>
      <w:pPr>
        <w:pStyle w:val="Heading2"/>
      </w:pPr>
      <w:r>
        <w:t>Objetivo</w:t>
      </w:r>
    </w:p>
    <w:p>
      <w:pPr>
        <w:spacing w:after="120"/>
      </w:pPr>
      <w:r>
        <w:t>Este manual estabelece um programa prático de gestão de risco de modelos e validação independente para IA preditiva, IA generativa, sistemas RAG e IA agêntica. Integra princípios de risco empresarial com métodos de teste, avaliação, verificação e validação (TEVV), preservando o escopo real e o status normativo de cada fonte.</w:t>
      </w:r>
    </w:p>
    <w:p>
      <w:pPr>
        <w:pStyle w:val="Heading2"/>
      </w:pPr>
      <w:r>
        <w:t>Disciplina sobre o status das fontes</w:t>
      </w:r>
    </w:p>
    <w:p>
      <w:pPr>
        <w:spacing w:after="120"/>
      </w:pPr>
      <w:r>
        <w:t>O NIST AI RMF 1.0 continua sendo orientação voluntária e está em revisão. O NIST AI 200-2 TEVV-Athlon é um Initial Public Draft em 2026 e deve ser tratado como orientação emergente de avaliação, não como padrão final obrigatório. O NIST AITE é um programa voluntário de avaliação. Para organizações bancárias dos Estados Unidos, a orientação supervisória de risco de modelos aplica-se ao seu âmbito setorial e não deve ser apresentada como obrigação universal para organizações não bancárias. A abordagem deve ser proporcional ao perfil de risco, porte, complexidade e materialidade.</w:t>
      </w:r>
    </w:p>
    <w:p>
      <w:pPr>
        <w:pStyle w:val="Heading2"/>
      </w:pPr>
      <w:r>
        <w:t>Modelo operacional de validação</w:t>
      </w:r>
    </w:p>
    <w:p>
      <w:pPr>
        <w:spacing w:after="120"/>
      </w:pPr>
      <w:r>
        <w:t>Caso de uso/materialidade → inventário → premissas/limitações → dados → metodologia/implementação → desempenho/robustez → segurança/equidade/explicabilidade → testes GenAI/RAG/agênticos → supervisão humana → desafio a terceiros → achados/disposição → monitoramento/revalidação.</w:t>
      </w:r>
    </w:p>
    <w:p>
      <w:pPr>
        <w:pStyle w:val="Heading2"/>
      </w:pPr>
      <w:r>
        <w:t>MRM-01 — Classificação do caso de uso e materialidade</w:t>
      </w:r>
    </w:p>
    <w:p>
      <w:pPr>
        <w:spacing w:after="120"/>
      </w:pPr>
      <w:r>
        <w:t>Validar finalidade de negócio, partes afetadas, consequência das decisões, autonomia, sensibilidade dos dados, impacto financeiro ou operacional, exposição regulatória e reversibilidade. Registrar materialidade, responsável, nível de aprovação e caminho de escalonamento.</w:t>
      </w:r>
    </w:p>
    <w:p>
      <w:pPr>
        <w:pStyle w:val="Heading2"/>
      </w:pPr>
      <w:r>
        <w:t>MRM-02 — Inventário do modelo e do sistema</w:t>
      </w:r>
    </w:p>
    <w:p>
      <w:pPr>
        <w:spacing w:after="120"/>
      </w:pPr>
      <w:r>
        <w:t>Validar modelo, fornecedor, versão, orquestração, prompts de sistema, repositórios de recuperação, ferramentas, agentes, fluxos de dados, hospedagem e dependências. Inventariar o sistema de IA completo, e não apenas o modelo matemático ou fundacional.</w:t>
      </w:r>
    </w:p>
    <w:p>
      <w:pPr>
        <w:pStyle w:val="Heading2"/>
      </w:pPr>
      <w:r>
        <w:t>MRM-03 — Premissas e limitações</w:t>
      </w:r>
    </w:p>
    <w:p>
      <w:pPr>
        <w:spacing w:after="120"/>
      </w:pPr>
      <w:r>
        <w:t>Identificar premissas explícitas e implícitas, faixas operacionais suportadas, incerteza, modos de falha conhecidos, usos proibidos, condições de borda e dependência de alegações de terceiros. O validador independente deve desafiar premissas materiais e não apenas repetir a documentação do desenvolvimento.</w:t>
      </w:r>
    </w:p>
    <w:p>
      <w:pPr>
        <w:pStyle w:val="Heading2"/>
      </w:pPr>
      <w:r>
        <w:t>MRM-04 — Validação de dados</w:t>
      </w:r>
    </w:p>
    <w:p>
      <w:pPr>
        <w:spacing w:after="120"/>
      </w:pPr>
      <w:r>
        <w:t>Avaliar proveniência, linhagem, representatividade, qualidade, vazamento, duplicação, contaminação, integridade de rótulos, relevância temporal, tratamento de dados sensíveis e separação treino/teste quando aplicável. Documentar condições de dados que possam invalidar conclusões de desempenho.</w:t>
      </w:r>
    </w:p>
    <w:p>
      <w:pPr>
        <w:pStyle w:val="Heading2"/>
      </w:pPr>
      <w:r>
        <w:t>MRM-05 — Metodologia e implementação</w:t>
      </w:r>
    </w:p>
    <w:p>
      <w:pPr>
        <w:spacing w:after="120"/>
      </w:pPr>
      <w:r>
        <w:t>Avaliar se a metodologia escolhida é adequada ao uso pretendido e se a implementação em produção corresponde ao desenho aprovado. Utilizar reprodutibilidade, revisão de código/configuração, cálculos independentes ou métodos alternativos conforme a materialidade.</w:t>
      </w:r>
    </w:p>
    <w:p>
      <w:pPr>
        <w:pStyle w:val="Heading2"/>
      </w:pPr>
      <w:r>
        <w:t>MRM-06 — Desempenho e robustez</w:t>
      </w:r>
    </w:p>
    <w:p>
      <w:pPr>
        <w:spacing w:after="120"/>
      </w:pPr>
      <w:r>
        <w:t>Testar desempenho com métricas apropriadas ao objetivo, incerteza, cenários de estresse, mudança de distribuição, casos extremos, estabilidade, calibração quando relevante e limites explícitos de falha. Evitar dependência de uma única métrica agregada quando ela puder ocultar falhas importantes por subgrupo ou cenário.</w:t>
      </w:r>
    </w:p>
    <w:p>
      <w:pPr>
        <w:pStyle w:val="Heading2"/>
      </w:pPr>
      <w:r>
        <w:t>MRM-07 — Segurança e resiliência adversarial</w:t>
      </w:r>
    </w:p>
    <w:p>
      <w:pPr>
        <w:spacing w:after="120"/>
      </w:pPr>
      <w:r>
        <w:t>Desafiar prompt injection, envenenamento, exfiltração, execução insegura de saídas, abuso de ferramentas, escalada de privilégios, integridade da cadeia de suprimentos, mudanças de fornecedor, exaustão de recursos e capacidade de contenção. Vincular achados à evidência de segurança do Manual 52.</w:t>
      </w:r>
    </w:p>
    <w:p>
      <w:pPr>
        <w:pStyle w:val="Heading2"/>
      </w:pPr>
      <w:r>
        <w:t>MRM-08 — Equidade e viés prejudicial</w:t>
      </w:r>
    </w:p>
    <w:p>
      <w:pPr>
        <w:spacing w:after="120"/>
      </w:pPr>
      <w:r>
        <w:t>Quando relevante ao caso de uso e aos requisitos aplicáveis, avaliar desempenho por subgrupos, indicadores de impacto desigual, efeitos de proxy, desequilíbrio de dados e eficácia das mitigações. Documentar quando uma métrica de equidade não se aplica e por quê; não afirmar que uma única métrica prova ausência de viés prejudicial.</w:t>
      </w:r>
    </w:p>
    <w:p>
      <w:pPr>
        <w:pStyle w:val="Heading2"/>
      </w:pPr>
      <w:r>
        <w:t>MRM-09 — Explicabilidade e rastreabilidade de decisões</w:t>
      </w:r>
    </w:p>
    <w:p>
      <w:pPr>
        <w:spacing w:after="120"/>
      </w:pPr>
      <w:r>
        <w:t>Validar se explicações, atribuição de evidências, proveniência, registros de decisão e justificativas voltadas a pessoas são adequados ao caso de uso. Não representar técnicas de explicação como se revelassem uma verdade interna além de sua capacidade real.</w:t>
      </w:r>
    </w:p>
    <w:p>
      <w:pPr>
        <w:pStyle w:val="Heading2"/>
      </w:pPr>
      <w:r>
        <w:t>MRM-10 — Factualidade, fundamentação e risco de alucinação em GenAI</w:t>
      </w:r>
    </w:p>
    <w:p>
      <w:pPr>
        <w:spacing w:after="120"/>
      </w:pPr>
      <w:r>
        <w:t>Definir testes específicos de factualidade e fundamentação, expectativas de fontes de referência, verificações de citações/proveniência, limites de alegações não sustentadas, comportamento de abstenção, tratamento de incerteza e regras de escalonamento. Avaliar fluxos reais e não apenas benchmarks isolados.</w:t>
      </w:r>
    </w:p>
    <w:p>
      <w:pPr>
        <w:pStyle w:val="Heading2"/>
      </w:pPr>
      <w:r>
        <w:t>MRM-11 — Qualidade e autorização de recuperação RAG</w:t>
      </w:r>
    </w:p>
    <w:p>
      <w:pPr>
        <w:spacing w:after="120"/>
      </w:pPr>
      <w:r>
        <w:t>Validar elegibilidade de fontes, relevância, atualidade, autorização, isolamento entre locatários, fragmentação/indexação, resistência a envenenamento, fidelidade de citações e prevenção de recuperação não autorizada. Medir tanto a qualidade da resposta quanto a integridade da evidência recuperada.</w:t>
      </w:r>
    </w:p>
    <w:p>
      <w:pPr>
        <w:pStyle w:val="Heading2"/>
      </w:pPr>
      <w:r>
        <w:t>MRM-12 — Risco de ação agêntica</w:t>
      </w:r>
    </w:p>
    <w:p>
      <w:pPr>
        <w:spacing w:after="120"/>
      </w:pPr>
      <w:r>
        <w:t>Validar identidade do agente, autoridade delegada, permissões de ferramentas, limites de ação, limiares de aprovação humana, delegação entre agentes, limites de transação/recursos, reversão, contenção e logs atribuíveis. Testar salvaguardas sob instruções adversariais ou ambíguas.</w:t>
      </w:r>
    </w:p>
    <w:p>
      <w:pPr>
        <w:pStyle w:val="Heading2"/>
      </w:pPr>
      <w:r>
        <w:t>MRM-13 — Efetividade da supervisão humana</w:t>
      </w:r>
    </w:p>
    <w:p>
      <w:pPr>
        <w:spacing w:after="120"/>
      </w:pPr>
      <w:r>
        <w:t>Testar se revisores designados conseguem compreender, intervir, rejeitar, substituir, interromper, escalar e documentar decisões antes de consequências materiais. Uma pessoa nominal no fluxo não é suficiente se o desenho técnico ou processual impedir intervenção significativa.</w:t>
      </w:r>
    </w:p>
    <w:p>
      <w:pPr>
        <w:pStyle w:val="Heading2"/>
      </w:pPr>
      <w:r>
        <w:t>MRM-14 — Validação de dependências de terceiros</w:t>
      </w:r>
    </w:p>
    <w:p>
      <w:pPr>
        <w:spacing w:after="120"/>
      </w:pPr>
      <w:r>
        <w:t>Desafiar alegações de fornecedores, model cards, declarações de segurança, avisos de mudança, compromissos contratuais, continuidade do serviço, controles de versão, opções de saída e disponibilidade de evidências. Registrar quais alegações foram reproduzidas independentemente e quais permanecem dependentes de declarações do fornecedor.</w:t>
      </w:r>
    </w:p>
    <w:p>
      <w:pPr>
        <w:pStyle w:val="Heading2"/>
      </w:pPr>
      <w:r>
        <w:t>MRM-15 — Monitoramento e revalidação</w:t>
      </w:r>
    </w:p>
    <w:p>
      <w:pPr>
        <w:spacing w:after="120"/>
      </w:pPr>
      <w:r>
        <w:t>Definir métricas, limites de drift, incidentes, mudanças de fornecedor/modelo/dados/ferramentas, falhas de controle, degradação de desempenho e gatilhos temporais de revalidação. O escopo da revalidação deve refletir a materialidade da mudança.</w:t>
      </w:r>
    </w:p>
    <w:p>
      <w:pPr>
        <w:pStyle w:val="Heading2"/>
      </w:pPr>
      <w:r>
        <w:t>MRM-16 — Achados, aprovação condicional e disposição</w:t>
      </w:r>
    </w:p>
    <w:p>
      <w:pPr>
        <w:spacing w:after="120"/>
      </w:pPr>
      <w:r>
        <w:t>Classificar achados por severidade e materialidade. Rastrear remediação, controles compensatórios, risco residual aceito, aprovação condicional, restrições de uso, datas de expiração e evidência de encerramento. Achados graves não resolvidos exigem disposição explícita de responsável com autoridade; a equipe de validação deve poder registrar dissenso.</w:t>
      </w:r>
    </w:p>
    <w:p>
      <w:pPr>
        <w:pStyle w:val="Heading2"/>
      </w:pPr>
      <w:r>
        <w:t>Critérios de independência</w:t>
      </w:r>
    </w:p>
    <w:p>
      <w:pPr>
        <w:spacing w:after="120"/>
      </w:pPr>
      <w:r>
        <w:t>A validação independente deve ser organizacional e intelectualmente separada do desenvolvimento primário em grau proporcional à materialidade. Os validadores devem poder desafiar premissas, reproduzir ou testar alegações de forma independente, registrar discordâncias, escalar achados não resolvidos e evitar validar suas próprias decisões de desenho sem controles compensatórios.</w:t>
      </w:r>
    </w:p>
    <w:p>
      <w:pPr>
        <w:pStyle w:val="Heading2"/>
      </w:pPr>
      <w:r>
        <w:t>Pacote obrigatório de cenários</w:t>
      </w:r>
    </w:p>
    <w:p>
      <w:pPr>
        <w:pStyle w:val="ListNumber"/>
      </w:pPr>
      <w:r>
        <w:t>Mudança de distribuição que deteriora o desempenho.</w:t>
      </w:r>
    </w:p>
    <w:p>
      <w:pPr>
        <w:pStyle w:val="ListNumber"/>
      </w:pPr>
      <w:r>
        <w:t>Mudança silenciosa de versão em modelo hospedado por terceiro.</w:t>
      </w:r>
    </w:p>
    <w:p>
      <w:pPr>
        <w:pStyle w:val="ListNumber"/>
      </w:pPr>
      <w:r>
        <w:t>Alucinação de GenAI em fluxo de trabalho consequencial.</w:t>
      </w:r>
    </w:p>
    <w:p>
      <w:pPr>
        <w:pStyle w:val="ListNumber"/>
      </w:pPr>
      <w:r>
        <w:t>RAG recupera conteúdo desatualizado ou não autorizado.</w:t>
      </w:r>
    </w:p>
    <w:p>
      <w:pPr>
        <w:pStyle w:val="ListNumber"/>
      </w:pPr>
      <w:r>
        <w:t>Agente tenta atuar fora de limite aprovado.</w:t>
      </w:r>
    </w:p>
    <w:p>
      <w:pPr>
        <w:pStyle w:val="ListNumber"/>
      </w:pPr>
      <w:r>
        <w:t>Supervisão humana existe no papel, mas é ineficaz na prática.</w:t>
      </w:r>
    </w:p>
    <w:p>
      <w:pPr>
        <w:pStyle w:val="ListNumber"/>
      </w:pPr>
      <w:r>
        <w:t>Contaminação da avaliação por dados usados em treino ou ajuste.</w:t>
      </w:r>
    </w:p>
    <w:p>
      <w:pPr>
        <w:pStyle w:val="ListNumber"/>
      </w:pPr>
      <w:r>
        <w:t>Alegação de terceiro não pode ser reproduzida independentemente.</w:t>
      </w:r>
    </w:p>
    <w:p>
      <w:pPr>
        <w:pStyle w:val="ListNumber"/>
      </w:pPr>
      <w:r>
        <w:t>Solicitação de aprovação condicional com achado de segurança aberto.</w:t>
      </w:r>
    </w:p>
    <w:p>
      <w:pPr>
        <w:pStyle w:val="ListNumber"/>
      </w:pPr>
      <w:r>
        <w:t>Drift material ainda abaixo de um limite numérico rígido.</w:t>
      </w:r>
    </w:p>
    <w:p>
      <w:pPr>
        <w:pStyle w:val="Heading2"/>
      </w:pPr>
      <w:r>
        <w:t>Catálogo de evidências</w:t>
      </w:r>
    </w:p>
    <w:p>
      <w:pPr>
        <w:pStyle w:val="ListBullet"/>
      </w:pPr>
      <w:r>
        <w:t>EV-01 Carta e escopo de validação.</w:t>
      </w:r>
    </w:p>
    <w:p>
      <w:pPr>
        <w:pStyle w:val="ListBullet"/>
      </w:pPr>
      <w:r>
        <w:t>EV-02 Avaliação de caso de uso/materialidade.</w:t>
      </w:r>
    </w:p>
    <w:p>
      <w:pPr>
        <w:pStyle w:val="ListBullet"/>
      </w:pPr>
      <w:r>
        <w:t>EV-03 Inventário do modelo/sistema.</w:t>
      </w:r>
    </w:p>
    <w:p>
      <w:pPr>
        <w:pStyle w:val="ListBullet"/>
      </w:pPr>
      <w:r>
        <w:t>EV-04 Diagramas de arquitetura e fluxo de dados.</w:t>
      </w:r>
    </w:p>
    <w:p>
      <w:pPr>
        <w:pStyle w:val="ListBullet"/>
      </w:pPr>
      <w:r>
        <w:t>EV-05 Registro de premissas/limitações.</w:t>
      </w:r>
    </w:p>
    <w:p>
      <w:pPr>
        <w:pStyle w:val="ListBullet"/>
      </w:pPr>
      <w:r>
        <w:t>EV-06 Testes de qualidade e proveniência de dados.</w:t>
      </w:r>
    </w:p>
    <w:p>
      <w:pPr>
        <w:pStyle w:val="ListBullet"/>
      </w:pPr>
      <w:r>
        <w:t>EV-07 Resultados reproduzíveis de desempenho.</w:t>
      </w:r>
    </w:p>
    <w:p>
      <w:pPr>
        <w:pStyle w:val="ListBullet"/>
      </w:pPr>
      <w:r>
        <w:t>EV-08 Testes de robustez/estresse.</w:t>
      </w:r>
    </w:p>
    <w:p>
      <w:pPr>
        <w:pStyle w:val="ListBullet"/>
      </w:pPr>
      <w:r>
        <w:t>EV-09 Resultados de testes adversariais e de segurança.</w:t>
      </w:r>
    </w:p>
    <w:p>
      <w:pPr>
        <w:pStyle w:val="ListBullet"/>
      </w:pPr>
      <w:r>
        <w:t>EV-10 Avaliação de equidade quando aplicável.</w:t>
      </w:r>
    </w:p>
    <w:p>
      <w:pPr>
        <w:pStyle w:val="ListBullet"/>
      </w:pPr>
      <w:r>
        <w:t>EV-11 Avaliação de factualidade/fundamentação GenAI.</w:t>
      </w:r>
    </w:p>
    <w:p>
      <w:pPr>
        <w:pStyle w:val="ListBullet"/>
      </w:pPr>
      <w:r>
        <w:t>EV-12 Avaliação de recuperação/autorização RAG.</w:t>
      </w:r>
    </w:p>
    <w:p>
      <w:pPr>
        <w:pStyle w:val="ListBullet"/>
      </w:pPr>
      <w:r>
        <w:t>EV-13 Testes de limites de ação agêntica.</w:t>
      </w:r>
    </w:p>
    <w:p>
      <w:pPr>
        <w:pStyle w:val="ListBullet"/>
      </w:pPr>
      <w:r>
        <w:t>EV-14 Teste de efetividade da supervisão humana.</w:t>
      </w:r>
    </w:p>
    <w:p>
      <w:pPr>
        <w:pStyle w:val="ListBullet"/>
      </w:pPr>
      <w:r>
        <w:t>EV-15 Desafio de evidência de terceiros.</w:t>
      </w:r>
    </w:p>
    <w:p>
      <w:pPr>
        <w:pStyle w:val="ListBullet"/>
      </w:pPr>
      <w:r>
        <w:t>EV-16 Registro de achados e remediação.</w:t>
      </w:r>
    </w:p>
    <w:p>
      <w:pPr>
        <w:pStyle w:val="ListBullet"/>
      </w:pPr>
      <w:r>
        <w:t>EV-17 Registro de aprovação condicional ou risco residual.</w:t>
      </w:r>
    </w:p>
    <w:p>
      <w:pPr>
        <w:pStyle w:val="ListBullet"/>
      </w:pPr>
      <w:r>
        <w:t>EV-18 Plano de monitoramento e revalidação.</w:t>
      </w:r>
    </w:p>
    <w:p>
      <w:pPr>
        <w:pStyle w:val="Heading2"/>
      </w:pPr>
      <w:r>
        <w:t>Regra de liberação</w:t>
      </w:r>
    </w:p>
    <w:p>
      <w:pPr>
        <w:spacing w:after="120"/>
      </w:pPr>
      <w:r>
        <w:t>Validação não é um selo único de aprovação. A evidência deve demonstrar desafio independente, testes reproduzíveis ou de outra forma sustentáveis, achados claros, disposição responsável e gatilhos definidos de revalidação. Orientação emergente deve permanecer identificada como rascunho e orientação supervisória setorial deve preservar seu escopo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