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6fa6c18855383e5f364471bc89830b7432f432e"/>
    <w:p>
      <w:pPr>
        <w:pStyle w:val="Heading1"/>
      </w:pPr>
      <w:r>
        <w:t xml:space="preserve">Comprobación y gestión de remediación Manual práctico</w:t>
      </w:r>
    </w:p>
    <w:p>
      <w:pPr>
        <w:pStyle w:val="FirstParagraph"/>
      </w:pPr>
      <w:r>
        <w:t xml:space="preserve">Este manual proporciona orientación educativa y operacional. No constituye asesoramiento jurídico, reglamentario, certificado, contable o de auditoría formal.</w:t>
      </w:r>
    </w:p>
    <w:bookmarkEnd w:id="20"/>
    <w:bookmarkStart w:id="41" w:name="Xc1ae12c902da90093f3f336418f142808841a91"/>
    <w:p>
      <w:pPr>
        <w:pStyle w:val="Heading1"/>
      </w:pPr>
      <w:r>
        <w:t xml:space="preserve">Capítulo 1 - Estrategia de gobernanza y evaluación</w:t>
      </w:r>
    </w:p>
    <w:bookmarkStart w:id="21" w:name="X530ef935b730dd063095ceeadd943201226bf42"/>
    <w:p>
      <w:pPr>
        <w:pStyle w:val="Heading2"/>
      </w:pPr>
      <w:r>
        <w:t xml:space="preserve">1.1 Propósito de la preparación de las auditorías</w:t>
      </w:r>
    </w:p>
    <w:p>
      <w:pPr>
        <w:pStyle w:val="FirstParagraph"/>
      </w:pPr>
      <w:r>
        <w:t xml:space="preserve">La disponibilidad de auditoría es la capacidad sostenida de demostrar, con pruebas fiables y debidamente protegidas, que los controles aplicables están diseñados, aplicados y funcionando según estén representados. No es un ejercicio de recopilación de documentos de última hora y no es permiso para crear pruebas después del hecho.</w:t>
      </w:r>
    </w:p>
    <w:p>
      <w:pPr>
        <w:pStyle w:val="BodyText"/>
      </w:pPr>
      <w:r>
        <w:t xml:space="preserve">Un programa de preparación madura ayuda a la organización:</w:t>
      </w:r>
    </w:p>
    <w:p>
      <w:pPr>
        <w:numPr>
          <w:ilvl w:val="0"/>
          <w:numId w:val="1001"/>
        </w:numPr>
        <w:pStyle w:val="Compact"/>
      </w:pPr>
      <w:r>
        <w:t xml:space="preserve">entender los criterios y alcance aplicables;</w:t>
      </w:r>
    </w:p>
    <w:p>
      <w:pPr>
        <w:numPr>
          <w:ilvl w:val="0"/>
          <w:numId w:val="1001"/>
        </w:numPr>
        <w:pStyle w:val="Compact"/>
      </w:pPr>
    </w:p>
    <w:p>
      <w:pPr>
        <w:numPr>
          <w:ilvl w:val="1"/>
          <w:numId w:val="1002"/>
        </w:numPr>
        <w:pStyle w:val="Compact"/>
      </w:pPr>
      <w:r>
        <w:t xml:space="preserve">asignar a los propietarios de control responsables;</w:t>
      </w:r>
    </w:p>
    <w:p>
      <w:pPr>
        <w:numPr>
          <w:ilvl w:val="0"/>
          <w:numId w:val="1001"/>
        </w:numPr>
        <w:pStyle w:val="Compact"/>
      </w:pPr>
      <w:r>
        <w:t xml:space="preserve">identificar controles perdidos, débiles o inconsistentes antes de una auditoría;</w:t>
      </w:r>
    </w:p>
    <w:p>
      <w:pPr>
        <w:numPr>
          <w:ilvl w:val="0"/>
          <w:numId w:val="1001"/>
        </w:numPr>
        <w:pStyle w:val="Compact"/>
      </w:pPr>
      <w:r>
        <w:t xml:space="preserve">recopilar pruebas mediante procesos repetibles;</w:t>
      </w:r>
    </w:p>
    <w:p>
      <w:pPr>
        <w:numPr>
          <w:ilvl w:val="0"/>
          <w:numId w:val="1001"/>
        </w:numPr>
        <w:pStyle w:val="Compact"/>
      </w:pPr>
      <w:r>
        <w:t xml:space="preserve">distinguir las deficiencias en la aplicación de las deficiencias en la documentación;</w:t>
      </w:r>
    </w:p>
    <w:p>
      <w:pPr>
        <w:numPr>
          <w:ilvl w:val="0"/>
          <w:numId w:val="1001"/>
        </w:numPr>
        <w:pStyle w:val="Compact"/>
      </w:pPr>
      <w:r>
        <w:t xml:space="preserve">responder con precisión a los evaluadores;</w:t>
      </w:r>
    </w:p>
    <w:p>
      <w:pPr>
        <w:numPr>
          <w:ilvl w:val="0"/>
          <w:numId w:val="1001"/>
        </w:numPr>
        <w:pStyle w:val="Compact"/>
      </w:pPr>
      <w:r>
        <w:t xml:space="preserve">resultados inmediatos basados en la causa raíz;</w:t>
      </w:r>
    </w:p>
    <w:p>
      <w:pPr>
        <w:numPr>
          <w:ilvl w:val="0"/>
          <w:numId w:val="1001"/>
        </w:numPr>
        <w:pStyle w:val="Compact"/>
      </w:pPr>
      <w:r>
        <w:t xml:space="preserve">validar el trabajo de acciones correctivas; y</w:t>
      </w:r>
    </w:p>
    <w:p>
      <w:pPr>
        <w:numPr>
          <w:ilvl w:val="0"/>
          <w:numId w:val="1001"/>
        </w:numPr>
        <w:pStyle w:val="Compact"/>
      </w:pPr>
      <w:r>
        <w:t xml:space="preserve">mantener la disposición entre las evaluaciones oficiales.</w:t>
      </w:r>
    </w:p>
    <w:bookmarkEnd w:id="21"/>
    <w:bookmarkStart w:id="28" w:name="principios-de-viabilidad"/>
    <w:p>
      <w:pPr>
        <w:pStyle w:val="Heading2"/>
      </w:pPr>
      <w:r>
        <w:t xml:space="preserve">1.2 Principios de viabilidad</w:t>
      </w:r>
    </w:p>
    <w:bookmarkStart w:id="22" w:name="precisión-sobre-la-apariencia"/>
    <w:p>
      <w:pPr>
        <w:pStyle w:val="Heading3"/>
      </w:pPr>
      <w:r>
        <w:t xml:space="preserve">Precisión sobre la apariencia</w:t>
      </w:r>
    </w:p>
    <w:p>
      <w:pPr>
        <w:pStyle w:val="FirstParagraph"/>
      </w:pPr>
      <w:r>
        <w:t xml:space="preserve">El objetivo es una representación veraz del entorno de control. Los equipos no deben alterar las fechas, fabricar aprobaciones, recrear registros históricos como si fueran contemporáneos, ocultar excepciones, o presentar controles previstos como controles operativos.</w:t>
      </w:r>
    </w:p>
    <w:bookmarkEnd w:id="22"/>
    <w:bookmarkStart w:id="23" w:name="trazabilidad-de-los-criterios"/>
    <w:p>
      <w:pPr>
        <w:pStyle w:val="Heading3"/>
      </w:pPr>
      <w:r>
        <w:t xml:space="preserve">Trazabilidad de los criterios</w:t>
      </w:r>
    </w:p>
    <w:p>
      <w:pPr>
        <w:pStyle w:val="FirstParagraph"/>
      </w:pPr>
      <w:r>
        <w:t xml:space="preserve">Cada conclusión de la disposición debe determinar el requisito exacto, la declaración de control, la cláusula contractual, la obligación de política o el criterio de auditoría que se está evaluando. Los marcos similares pueden utilizar diferentes definiciones, expectativas de evidencia, períodos de prueba y reglas de muestreo.</w:t>
      </w:r>
    </w:p>
    <w:bookmarkEnd w:id="23"/>
    <w:bookmarkStart w:id="24" w:name="suficiencia-y-idoneidad-de-las-pruebas"/>
    <w:p>
      <w:pPr>
        <w:pStyle w:val="Heading3"/>
      </w:pPr>
      <w:r>
        <w:t xml:space="preserve">Suficiencia y idoneidad de las pruebas</w:t>
      </w:r>
    </w:p>
    <w:p>
      <w:pPr>
        <w:pStyle w:val="FirstParagraph"/>
      </w:pPr>
      <w:r>
        <w:t xml:space="preserve">Las pruebas deben ser pertinentes al criterio, lo suficientemente completo como para apoyar la conclusión, atribuible a una fuente fiable, actual para el período de examen, y protegida según su sensibilidad.</w:t>
      </w:r>
    </w:p>
    <w:bookmarkEnd w:id="24"/>
    <w:bookmarkStart w:id="25" w:name="independencia-y-desafío"/>
    <w:p>
      <w:pPr>
        <w:pStyle w:val="Heading3"/>
      </w:pPr>
      <w:r>
        <w:t xml:space="preserve">Independencia y desafío</w:t>
      </w:r>
    </w:p>
    <w:p>
      <w:pPr>
        <w:pStyle w:val="FirstParagraph"/>
      </w:pPr>
      <w:r>
        <w:t xml:space="preserve">La autoevaluación es útil pero puede ser parcial. Los exámenes de viabilidad deben incluir un nivel adecuado de desafío independiente, especialmente para controles de alto riesgo, conclusiones recurrentes, afirmaciones de gestión y decisiones de cierre.</w:t>
      </w:r>
    </w:p>
    <w:bookmarkEnd w:id="25"/>
    <w:bookmarkStart w:id="26" w:name="priorización-basada-en-el-riesgo"/>
    <w:p>
      <w:pPr>
        <w:pStyle w:val="Heading3"/>
      </w:pPr>
      <w:r>
        <w:t xml:space="preserve">Priorización basada en el riesgo</w:t>
      </w:r>
    </w:p>
    <w:p>
      <w:pPr>
        <w:pStyle w:val="FirstParagraph"/>
      </w:pPr>
      <w:r>
        <w:t xml:space="preserve">No todas las lagunas requieren igual atención. Priorizarse según el impacto potencial, probabilidad, exposición regulatoria o contractual, dependencia de control, población afectada, recurrencia y tiempo necesario para remediar.</w:t>
      </w:r>
    </w:p>
    <w:bookmarkEnd w:id="26"/>
    <w:bookmarkStart w:id="27" w:name="corrección-sostenible"/>
    <w:p>
      <w:pPr>
        <w:pStyle w:val="Heading3"/>
      </w:pPr>
      <w:r>
        <w:t xml:space="preserve">Corrección sostenible</w:t>
      </w:r>
    </w:p>
    <w:p>
      <w:pPr>
        <w:pStyle w:val="FirstParagraph"/>
      </w:pPr>
      <w:r>
        <w:t xml:space="preserve">Un hallazgo no se cierra simplemente porque se produjo un documento o se cambió una configuración. El cierre requiere pruebas de que la acción correctiva aborda la causa raíz, se ha aplicado y funciona eficazmente durante un período apropiado.</w:t>
      </w:r>
    </w:p>
    <w:bookmarkEnd w:id="27"/>
    <w:bookmarkEnd w:id="28"/>
    <w:bookmarkStart w:id="36" w:name="funciones-de-gobernanza"/>
    <w:p>
      <w:pPr>
        <w:pStyle w:val="Heading2"/>
      </w:pPr>
      <w:r>
        <w:t xml:space="preserve">1.3 Funciones de gobernanza</w:t>
      </w:r>
    </w:p>
    <w:bookmarkStart w:id="29" w:name="patrocinador-ejecutivo"/>
    <w:p>
      <w:pPr>
        <w:pStyle w:val="Heading3"/>
      </w:pPr>
      <w:r>
        <w:t xml:space="preserve">Patrocinador ejecutivo</w:t>
      </w:r>
    </w:p>
    <w:p>
      <w:pPr>
        <w:pStyle w:val="FirstParagraph"/>
      </w:pPr>
      <w:r>
        <w:t xml:space="preserve">El patrocinador ejecutivo autoriza el programa de preparación, resuelve las barreras interfuncionales, asegura que los recursos estén disponibles y recibe una escalada de riesgo material.</w:t>
      </w:r>
    </w:p>
    <w:bookmarkEnd w:id="29"/>
    <w:bookmarkStart w:id="30" w:name="liderazgo-del-programa"/>
    <w:p>
      <w:pPr>
        <w:pStyle w:val="Heading3"/>
      </w:pPr>
      <w:r>
        <w:t xml:space="preserve">Liderazgo del programa</w:t>
      </w:r>
    </w:p>
    <w:p>
      <w:pPr>
        <w:pStyle w:val="FirstParagraph"/>
      </w:pPr>
      <w:r>
        <w:t xml:space="preserve">El programa dirige el alcance, los criterios, los plazos, las dependencias, la cadencia de examen, la coordinación de pruebas, la intensificación de la emisión, la presentación de informes y la integración con las actividades de auditoría oficiales.</w:t>
      </w:r>
    </w:p>
    <w:bookmarkEnd w:id="30"/>
    <w:bookmarkStart w:id="31" w:name="propietario-de-control"/>
    <w:p>
      <w:pPr>
        <w:pStyle w:val="Heading3"/>
      </w:pPr>
      <w:r>
        <w:t xml:space="preserve">Propietario de control</w:t>
      </w:r>
    </w:p>
    <w:p>
      <w:pPr>
        <w:pStyle w:val="FirstParagraph"/>
      </w:pPr>
      <w:r>
        <w:t xml:space="preserve">El propietario del control es responsable del diseño, ejecución, evidencia, excepciones conocidas, acciones correctivas y respuestas oportunas. La propiedad no puede ser delegada simplemente asignando la recopilación de pruebas a otra persona.</w:t>
      </w:r>
    </w:p>
    <w:bookmarkEnd w:id="31"/>
    <w:bookmarkStart w:id="32" w:name="proveedor-de-pruebas"/>
    <w:p>
      <w:pPr>
        <w:pStyle w:val="Heading3"/>
      </w:pPr>
      <w:r>
        <w:t xml:space="preserve">Proveedor de pruebas</w:t>
      </w:r>
    </w:p>
    <w:p>
      <w:pPr>
        <w:pStyle w:val="FirstParagraph"/>
      </w:pPr>
      <w:r>
        <w:t xml:space="preserve">El proveedor de pruebas recupera los registros aprobados de los sistemas autorizados, la procedencia de documentos y el período de tiempo, protege la información confidencial y evita la interpretación no apoyada.</w:t>
      </w:r>
    </w:p>
    <w:bookmarkEnd w:id="32"/>
    <w:bookmarkStart w:id="33" w:name="revisor-o-evaluador-de-preparación"/>
    <w:p>
      <w:pPr>
        <w:pStyle w:val="Heading3"/>
      </w:pPr>
      <w:r>
        <w:t xml:space="preserve">Revisor o evaluador de preparación</w:t>
      </w:r>
    </w:p>
    <w:p>
      <w:pPr>
        <w:pStyle w:val="FirstParagraph"/>
      </w:pPr>
      <w:r>
        <w:t xml:space="preserve">El evaluador evalúa el diseño y la evidencia operativa contra criterios definidos, procedimientos de documentos realizados, limitaciones de registros y distingue las observaciones de hallazgos fundamentados.</w:t>
      </w:r>
    </w:p>
    <w:bookmarkEnd w:id="33"/>
    <w:bookmarkStart w:id="34" w:name="localización-del-propietario"/>
    <w:p>
      <w:pPr>
        <w:pStyle w:val="Heading3"/>
      </w:pPr>
      <w:r>
        <w:t xml:space="preserve">Localización del propietario</w:t>
      </w:r>
    </w:p>
    <w:p>
      <w:pPr>
        <w:pStyle w:val="FirstParagraph"/>
      </w:pPr>
      <w:r>
        <w:t xml:space="preserve">El propietario del hallazgo coordina el análisis de las causas profundas, la planificación de las acciones correctivas, hitos, dependencias, pruebas de validación y solicitudes de cierre.</w:t>
      </w:r>
    </w:p>
    <w:bookmarkEnd w:id="34"/>
    <w:bookmarkStart w:id="35" w:name="aceptador-de-riesgos"/>
    <w:p>
      <w:pPr>
        <w:pStyle w:val="Heading3"/>
      </w:pPr>
      <w:r>
        <w:t xml:space="preserve">Aceptador de riesgos</w:t>
      </w:r>
    </w:p>
    <w:p>
      <w:pPr>
        <w:pStyle w:val="FirstParagraph"/>
      </w:pPr>
      <w:r>
        <w:t xml:space="preserve">El aceptante autorizado de riesgos puede aprobar una excepción con plazos o un riesgo residual dentro de la autoridad delegada. La aceptación no debe utilizarse para disimular el incumplimiento de obligaciones que no puedan renunciar legalmente o contractualmente.</w:t>
      </w:r>
    </w:p>
    <w:bookmarkEnd w:id="35"/>
    <w:bookmarkEnd w:id="36"/>
    <w:bookmarkStart w:id="37" w:name="carta-de-arrendamiento"/>
    <w:p>
      <w:pPr>
        <w:pStyle w:val="Heading2"/>
      </w:pPr>
      <w:r>
        <w:t xml:space="preserve">1.4 Carta de arrendamiento</w:t>
      </w:r>
    </w:p>
    <w:p>
      <w:pPr>
        <w:pStyle w:val="FirstParagraph"/>
      </w:pPr>
      <w:r>
        <w:t xml:space="preserve">Una carta de preparación debería definir:</w:t>
      </w:r>
    </w:p>
    <w:p>
      <w:pPr>
        <w:numPr>
          <w:ilvl w:val="0"/>
          <w:numId w:val="1003"/>
        </w:numPr>
        <w:pStyle w:val="Compact"/>
      </w:pPr>
      <w:r>
        <w:t xml:space="preserve">finalidad y resultados previstos;</w:t>
      </w:r>
    </w:p>
    <w:p>
      <w:pPr>
        <w:numPr>
          <w:ilvl w:val="0"/>
          <w:numId w:val="1003"/>
        </w:numPr>
        <w:pStyle w:val="Compact"/>
      </w:pPr>
      <w:r>
        <w:t xml:space="preserve">marcos, normas, reglamentos, contratos y políticas de alcance;</w:t>
      </w:r>
    </w:p>
    <w:p>
      <w:pPr>
        <w:numPr>
          <w:ilvl w:val="0"/>
          <w:numId w:val="1003"/>
        </w:numPr>
        <w:pStyle w:val="Compact"/>
      </w:pPr>
      <w:r>
        <w:t xml:space="preserve">sistemas, emplazamientos, procesos, entidades, datos y períodos de tiempo en alcance;</w:t>
      </w:r>
    </w:p>
    <w:p>
      <w:pPr>
        <w:numPr>
          <w:ilvl w:val="0"/>
          <w:numId w:val="1003"/>
        </w:numPr>
        <w:pStyle w:val="Compact"/>
      </w:pPr>
      <w:r>
        <w:t xml:space="preserve">funciones de gobernanza y derechos de decisión;</w:t>
      </w:r>
    </w:p>
    <w:p>
      <w:pPr>
        <w:numPr>
          <w:ilvl w:val="0"/>
          <w:numId w:val="1003"/>
        </w:numPr>
        <w:pStyle w:val="Compact"/>
      </w:pPr>
    </w:p>
    <w:p>
      <w:pPr>
        <w:numPr>
          <w:ilvl w:val="1"/>
          <w:numId w:val="1004"/>
        </w:numPr>
        <w:pStyle w:val="Compact"/>
      </w:pPr>
      <w:r>
        <w:t xml:space="preserve">expectativas de independencia;</w:t>
      </w:r>
    </w:p>
    <w:p>
      <w:pPr>
        <w:numPr>
          <w:ilvl w:val="0"/>
          <w:numId w:val="1003"/>
        </w:numPr>
        <w:pStyle w:val="Compact"/>
      </w:pPr>
      <w:r>
        <w:t xml:space="preserve">requisitos de gestión de pruebas y confidencialidad;</w:t>
      </w:r>
    </w:p>
    <w:p>
      <w:pPr>
        <w:numPr>
          <w:ilvl w:val="0"/>
          <w:numId w:val="1003"/>
        </w:numPr>
        <w:pStyle w:val="Compact"/>
      </w:pPr>
      <w:r>
        <w:t xml:space="preserve">normas de gravedad y escalada;</w:t>
      </w:r>
    </w:p>
    <w:p>
      <w:pPr>
        <w:numPr>
          <w:ilvl w:val="0"/>
          <w:numId w:val="1003"/>
        </w:numPr>
        <w:pStyle w:val="Compact"/>
      </w:pPr>
      <w:r>
        <w:t xml:space="preserve">cdencia de presentación de informes;</w:t>
      </w:r>
    </w:p>
    <w:p>
      <w:pPr>
        <w:numPr>
          <w:ilvl w:val="0"/>
          <w:numId w:val="1003"/>
        </w:numPr>
        <w:pStyle w:val="Compact"/>
      </w:pPr>
    </w:p>
    <w:p>
      <w:pPr>
        <w:numPr>
          <w:ilvl w:val="1"/>
          <w:numId w:val="1005"/>
        </w:numPr>
        <w:pStyle w:val="Compact"/>
      </w:pPr>
      <w:r>
        <w:t xml:space="preserve">Autoridad de rehabilitación y cierre;</w:t>
      </w:r>
    </w:p>
    <w:p>
      <w:pPr>
        <w:numPr>
          <w:ilvl w:val="0"/>
          <w:numId w:val="1003"/>
        </w:numPr>
        <w:pStyle w:val="Compact"/>
      </w:pPr>
      <w:r>
        <w:t xml:space="preserve">requisitos de garantía de calidad; y</w:t>
      </w:r>
    </w:p>
    <w:p>
      <w:pPr>
        <w:numPr>
          <w:ilvl w:val="0"/>
          <w:numId w:val="1003"/>
        </w:numPr>
        <w:pStyle w:val="Compact"/>
      </w:pPr>
      <w:r>
        <w:t xml:space="preserve">limitaciones y exclusiones.</w:t>
      </w:r>
    </w:p>
    <w:bookmarkEnd w:id="37"/>
    <w:bookmarkStart w:id="38" w:name="universo-de-evaluación-y-alcance"/>
    <w:p>
      <w:pPr>
        <w:pStyle w:val="Heading2"/>
      </w:pPr>
      <w:r>
        <w:t xml:space="preserve">1.5 Universo de evaluación y alcance</w:t>
      </w:r>
    </w:p>
    <w:p>
      <w:pPr>
        <w:pStyle w:val="FirstParagraph"/>
      </w:pPr>
      <w:r>
        <w:t xml:space="preserve">Mantener un universo de evaluación que identifique posibles entidades auditables como procesos empresariales, sistemas, productos, ubicaciones, proveedores, entidades jurídicas y dominios de control. Use riesgos, hallazgos previos, cambios materiales, incidentes, compromisos regulatorios y ciclos de auditoría para determinar prioridades de preparación.</w:t>
      </w:r>
    </w:p>
    <w:p>
      <w:pPr>
        <w:pStyle w:val="BodyText"/>
      </w:pPr>
      <w:r>
        <w:t xml:space="preserve">Para cada compromiso, documento:</w:t>
      </w:r>
    </w:p>
    <w:p>
      <w:pPr>
        <w:numPr>
          <w:ilvl w:val="0"/>
          <w:numId w:val="1006"/>
        </w:numPr>
        <w:pStyle w:val="Compact"/>
      </w:pPr>
      <w:r>
        <w:t xml:space="preserve">objetivo;</w:t>
      </w:r>
    </w:p>
    <w:p>
      <w:pPr>
        <w:numPr>
          <w:ilvl w:val="0"/>
          <w:numId w:val="1006"/>
        </w:numPr>
        <w:pStyle w:val="Compact"/>
      </w:pPr>
      <w:r>
        <w:t xml:space="preserve">criterios y versiones exactas;</w:t>
      </w:r>
    </w:p>
    <w:p>
      <w:pPr>
        <w:numPr>
          <w:ilvl w:val="0"/>
          <w:numId w:val="1006"/>
        </w:numPr>
        <w:pStyle w:val="Compact"/>
      </w:pPr>
      <w:r>
        <w:t xml:space="preserve">límites de alcance;</w:t>
      </w:r>
    </w:p>
    <w:p>
      <w:pPr>
        <w:numPr>
          <w:ilvl w:val="0"/>
          <w:numId w:val="1006"/>
        </w:numPr>
        <w:pStyle w:val="Compact"/>
      </w:pPr>
      <w:r>
        <w:t xml:space="preserve">período de examen;</w:t>
      </w:r>
    </w:p>
    <w:p>
      <w:pPr>
        <w:numPr>
          <w:ilvl w:val="0"/>
          <w:numId w:val="1006"/>
        </w:numPr>
        <w:pStyle w:val="Compact"/>
      </w:pPr>
      <w:r>
        <w:t xml:space="preserve">poblaciones y sistemas de registro;</w:t>
      </w:r>
    </w:p>
    <w:p>
      <w:pPr>
        <w:numPr>
          <w:ilvl w:val="0"/>
          <w:numId w:val="1006"/>
        </w:numPr>
        <w:pStyle w:val="Compact"/>
      </w:pPr>
      <w:r>
        <w:t xml:space="preserve">exclusiones y fundamentos;</w:t>
      </w:r>
    </w:p>
    <w:p>
      <w:pPr>
        <w:numPr>
          <w:ilvl w:val="0"/>
          <w:numId w:val="1006"/>
        </w:numPr>
        <w:pStyle w:val="Compact"/>
      </w:pPr>
      <w:r>
        <w:t xml:space="preserve">las dependencias y los controles heredados;</w:t>
      </w:r>
    </w:p>
    <w:p>
      <w:pPr>
        <w:numPr>
          <w:ilvl w:val="0"/>
          <w:numId w:val="1006"/>
        </w:numPr>
        <w:pStyle w:val="Compact"/>
      </w:pPr>
      <w:r>
        <w:t xml:space="preserve">enfoque de muestreo;</w:t>
      </w:r>
    </w:p>
    <w:p>
      <w:pPr>
        <w:numPr>
          <w:ilvl w:val="0"/>
          <w:numId w:val="1006"/>
        </w:numPr>
        <w:pStyle w:val="Compact"/>
      </w:pPr>
      <w:r>
        <w:t xml:space="preserve">procedimientos previstos;</w:t>
      </w:r>
    </w:p>
    <w:p>
      <w:pPr>
        <w:numPr>
          <w:ilvl w:val="0"/>
          <w:numId w:val="1006"/>
        </w:numPr>
        <w:pStyle w:val="Compact"/>
      </w:pPr>
      <w:r>
        <w:t xml:space="preserve">interesados;</w:t>
      </w:r>
    </w:p>
    <w:p>
      <w:pPr>
        <w:numPr>
          <w:ilvl w:val="0"/>
          <w:numId w:val="1006"/>
        </w:numPr>
        <w:pStyle w:val="Compact"/>
      </w:pPr>
      <w:r>
        <w:t xml:space="preserve">hitos; y</w:t>
      </w:r>
    </w:p>
    <w:p>
      <w:pPr>
        <w:numPr>
          <w:ilvl w:val="0"/>
          <w:numId w:val="1006"/>
        </w:numPr>
        <w:pStyle w:val="Compact"/>
      </w:pPr>
      <w:r>
        <w:t xml:space="preserve">limitaciones conocidas.</w:t>
      </w:r>
    </w:p>
    <w:bookmarkEnd w:id="38"/>
    <w:bookmarkStart w:id="39" w:name="ciclo-de-vida-de-lectura"/>
    <w:p>
      <w:pPr>
        <w:pStyle w:val="Heading2"/>
      </w:pPr>
      <w:r>
        <w:t xml:space="preserve">1.6 Ciclo de vida de lectura</w:t>
      </w:r>
    </w:p>
    <w:p>
      <w:pPr>
        <w:pStyle w:val="FirstParagraph"/>
      </w:pPr>
      <w:r>
        <w:t xml:space="preserve">Un ciclo de vida de preparación controlado normalmente incluye:</w:t>
      </w:r>
    </w:p>
    <w:p>
      <w:pPr>
        <w:numPr>
          <w:ilvl w:val="0"/>
          <w:numId w:val="1007"/>
        </w:numPr>
        <w:pStyle w:val="Compact"/>
      </w:pPr>
      <w:r>
        <w:t xml:space="preserve">autorizar y definir el compromiso;</w:t>
      </w:r>
    </w:p>
    <w:p>
      <w:pPr>
        <w:numPr>
          <w:ilvl w:val="0"/>
          <w:numId w:val="1007"/>
        </w:numPr>
        <w:pStyle w:val="Compact"/>
      </w:pPr>
      <w:r>
        <w:t xml:space="preserve">confirmar criterios y alcance;</w:t>
      </w:r>
    </w:p>
    <w:p>
      <w:pPr>
        <w:numPr>
          <w:ilvl w:val="0"/>
          <w:numId w:val="1007"/>
        </w:numPr>
        <w:pStyle w:val="Compact"/>
      </w:pPr>
      <w:r>
        <w:t xml:space="preserve">control de mapas y propietarios;</w:t>
      </w:r>
    </w:p>
    <w:p>
      <w:pPr>
        <w:numPr>
          <w:ilvl w:val="0"/>
          <w:numId w:val="1007"/>
        </w:numPr>
        <w:pStyle w:val="Compact"/>
      </w:pPr>
      <w:r>
        <w:t xml:space="preserve">reunir documentación y pruebas existentes;</w:t>
      </w:r>
    </w:p>
    <w:p>
      <w:pPr>
        <w:numPr>
          <w:ilvl w:val="0"/>
          <w:numId w:val="1007"/>
        </w:numPr>
        <w:pStyle w:val="Compact"/>
      </w:pPr>
      <w:r>
        <w:t xml:space="preserve">realizar el examen del diseño;</w:t>
      </w:r>
    </w:p>
    <w:p>
      <w:pPr>
        <w:numPr>
          <w:ilvl w:val="0"/>
          <w:numId w:val="1007"/>
        </w:numPr>
        <w:pStyle w:val="Compact"/>
      </w:pPr>
      <w:r>
        <w:t xml:space="preserve">realizar un examen de la eficacia en el funcionamiento;</w:t>
      </w:r>
    </w:p>
    <w:p>
      <w:pPr>
        <w:numPr>
          <w:ilvl w:val="0"/>
          <w:numId w:val="1007"/>
        </w:numPr>
        <w:pStyle w:val="Compact"/>
      </w:pPr>
      <w:r>
        <w:t xml:space="preserve">document gaps, observations, and findings;</w:t>
      </w:r>
    </w:p>
    <w:p>
      <w:pPr>
        <w:numPr>
          <w:ilvl w:val="0"/>
          <w:numId w:val="1007"/>
        </w:numPr>
        <w:pStyle w:val="Compact"/>
      </w:pPr>
      <w:r>
        <w:t xml:space="preserve">priorizar y asignar acciones correctivas;</w:t>
      </w:r>
    </w:p>
    <w:p>
      <w:pPr>
        <w:numPr>
          <w:ilvl w:val="0"/>
          <w:numId w:val="1007"/>
        </w:numPr>
        <w:pStyle w:val="Compact"/>
      </w:pPr>
      <w:r>
        <w:t xml:space="preserve">vigilar la rehabilitación;</w:t>
      </w:r>
    </w:p>
    <w:p>
      <w:pPr>
        <w:numPr>
          <w:ilvl w:val="0"/>
          <w:numId w:val="1007"/>
        </w:numPr>
        <w:pStyle w:val="Compact"/>
      </w:pPr>
      <w:r>
        <w:t xml:space="preserve">validar la aplicación y el funcionamiento sostenido;</w:t>
      </w:r>
    </w:p>
    <w:p>
      <w:pPr>
        <w:numPr>
          <w:ilvl w:val="0"/>
          <w:numId w:val="1007"/>
        </w:numPr>
        <w:pStyle w:val="Compact"/>
      </w:pPr>
      <w:r>
        <w:t xml:space="preserve">aprobar el cierre o el tratamiento del riesgo;</w:t>
      </w:r>
    </w:p>
    <w:p>
      <w:pPr>
        <w:numPr>
          <w:ilvl w:val="0"/>
          <w:numId w:val="1007"/>
        </w:numPr>
        <w:pStyle w:val="Compact"/>
      </w:pPr>
      <w:r>
        <w:t xml:space="preserve">preparar comunicaciones de gestión y evaluación; y</w:t>
      </w:r>
    </w:p>
    <w:p>
      <w:pPr>
        <w:numPr>
          <w:ilvl w:val="0"/>
          <w:numId w:val="1007"/>
        </w:numPr>
        <w:pStyle w:val="Compact"/>
      </w:pPr>
      <w:r>
        <w:t xml:space="preserve">alimentar las lecciones en monitoreo continuo y planificación futura.</w:t>
      </w:r>
    </w:p>
    <w:bookmarkEnd w:id="39"/>
    <w:bookmarkStart w:id="40" w:name="X989b19863570f40b4badf59a2a2e117f8c74acf"/>
    <w:p>
      <w:pPr>
        <w:pStyle w:val="Heading2"/>
      </w:pPr>
      <w:r>
        <w:t xml:space="preserve">1.7 El conocimiento no es igual a la certificación</w:t>
      </w:r>
    </w:p>
    <w:p>
      <w:pPr>
        <w:pStyle w:val="FirstParagraph"/>
      </w:pPr>
      <w:r>
        <w:t xml:space="preserve">Una revisión exitosa de la preparación interna no garantiza una auditoría limpia, certificación, resultado regulatorio o aceptación del cliente. Los asesores externos pueden aplicar diferentes muestras, juicio profesional, materialidad, expectativas de evidencia o interpretaciones. Por lo tanto, los resultados de lectura deben describirse con precisión y sin garantías.</w:t>
      </w:r>
    </w:p>
    <w:bookmarkEnd w:id="40"/>
    <w:bookmarkEnd w:id="41"/>
    <w:bookmarkStart w:id="50" w:name="X9ab0608c5968e457111134aefc841ef2653f17b"/>
    <w:p>
      <w:pPr>
        <w:pStyle w:val="Heading1"/>
      </w:pPr>
      <w:r>
        <w:t xml:space="preserve">Capítulo 2 - Evaluación de Mapping y Readiness Control</w:t>
      </w:r>
    </w:p>
    <w:bookmarkStart w:id="42" w:name="construir-un-mapa-de-criterios-a-control"/>
    <w:p>
      <w:pPr>
        <w:pStyle w:val="Heading2"/>
      </w:pPr>
      <w:r>
        <w:t xml:space="preserve">2.1 Construir un mapa de criterios a control</w:t>
      </w:r>
    </w:p>
    <w:p>
      <w:pPr>
        <w:pStyle w:val="FirstParagraph"/>
      </w:pPr>
      <w:r>
        <w:t xml:space="preserve">Una revisión de preparación comienza con trazabilidad. Mape cada criterio aplicable al control, propietario, proceso, sistema, fuente de pruebas, frecuencia, población, dependencia y procedimiento de evaluación de la organización. No asuma que un control satisface cada requisito superficialmente similar.</w:t>
      </w:r>
    </w:p>
    <w:p>
      <w:pPr>
        <w:pStyle w:val="BodyText"/>
      </w:pPr>
      <w:r>
        <w:t xml:space="preserve">La asignación debe determinar:</w:t>
      </w:r>
    </w:p>
    <w:p>
      <w:pPr>
        <w:numPr>
          <w:ilvl w:val="0"/>
          <w:numId w:val="1008"/>
        </w:numPr>
        <w:pStyle w:val="Compact"/>
      </w:pPr>
      <w:r>
        <w:t xml:space="preserve">criterio de identificación y versión de fuente exacta;</w:t>
      </w:r>
    </w:p>
    <w:p>
      <w:pPr>
        <w:numPr>
          <w:ilvl w:val="0"/>
          <w:numId w:val="1008"/>
        </w:numPr>
        <w:pStyle w:val="Compact"/>
      </w:pPr>
      <w:r>
        <w:t xml:space="preserve">resumen de las necesidades en el idioma de organización original;</w:t>
      </w:r>
    </w:p>
    <w:p>
      <w:pPr>
        <w:numPr>
          <w:ilvl w:val="0"/>
          <w:numId w:val="1008"/>
        </w:numPr>
        <w:pStyle w:val="Compact"/>
      </w:pPr>
      <w:r>
        <w:t xml:space="preserve">control identificador y objetivo de control;</w:t>
      </w:r>
    </w:p>
    <w:p>
      <w:pPr>
        <w:numPr>
          <w:ilvl w:val="0"/>
          <w:numId w:val="1008"/>
        </w:numPr>
        <w:pStyle w:val="Compact"/>
      </w:pPr>
      <w:r>
        <w:t xml:space="preserve">control propietario y operador;</w:t>
      </w:r>
    </w:p>
    <w:p>
      <w:pPr>
        <w:numPr>
          <w:ilvl w:val="0"/>
          <w:numId w:val="1008"/>
        </w:numPr>
        <w:pStyle w:val="Compact"/>
      </w:pPr>
      <w:r>
        <w:t xml:space="preserve">sistemas, procesos, ubicaciones y poblaciones abarcadas;</w:t>
      </w:r>
    </w:p>
    <w:p>
      <w:pPr>
        <w:numPr>
          <w:ilvl w:val="0"/>
          <w:numId w:val="1008"/>
        </w:numPr>
        <w:pStyle w:val="Compact"/>
      </w:pPr>
      <w:r>
        <w:t xml:space="preserve">carácter preventivo, detective, correctivo o directiva;</w:t>
      </w:r>
    </w:p>
    <w:p>
      <w:pPr>
        <w:numPr>
          <w:ilvl w:val="0"/>
          <w:numId w:val="1008"/>
        </w:numPr>
        <w:pStyle w:val="Compact"/>
      </w:pPr>
      <w:r>
        <w:t xml:space="preserve">operación manual, automatizada o híbrida;</w:t>
      </w:r>
    </w:p>
    <w:p>
      <w:pPr>
        <w:numPr>
          <w:ilvl w:val="0"/>
          <w:numId w:val="1008"/>
        </w:numPr>
        <w:pStyle w:val="Compact"/>
      </w:pPr>
      <w:r>
        <w:t xml:space="preserve">frecuencia de funcionamiento;</w:t>
      </w:r>
    </w:p>
    <w:p>
      <w:pPr>
        <w:numPr>
          <w:ilvl w:val="0"/>
          <w:numId w:val="1008"/>
        </w:numPr>
        <w:pStyle w:val="Compact"/>
      </w:pPr>
      <w:r>
        <w:t xml:space="preserve">fuente de pruebas y lugar de retención;</w:t>
      </w:r>
    </w:p>
    <w:p>
      <w:pPr>
        <w:numPr>
          <w:ilvl w:val="0"/>
          <w:numId w:val="1008"/>
        </w:numPr>
        <w:pStyle w:val="Compact"/>
      </w:pPr>
      <w:r>
        <w:t xml:space="preserve">dependencia hereditaria o de control compartido;</w:t>
      </w:r>
    </w:p>
    <w:p>
      <w:pPr>
        <w:numPr>
          <w:ilvl w:val="0"/>
          <w:numId w:val="1008"/>
        </w:numPr>
        <w:pStyle w:val="Compact"/>
      </w:pPr>
    </w:p>
    <w:p>
      <w:pPr>
        <w:numPr>
          <w:ilvl w:val="1"/>
          <w:numId w:val="1009"/>
        </w:numPr>
        <w:pStyle w:val="Compact"/>
      </w:pPr>
      <w:r>
        <w:t xml:space="preserve">Examen, entrevista y procedimientos de prueba previstos;</w:t>
      </w:r>
    </w:p>
    <w:p>
      <w:pPr>
        <w:numPr>
          <w:ilvl w:val="0"/>
          <w:numId w:val="1008"/>
        </w:numPr>
        <w:pStyle w:val="Compact"/>
      </w:pPr>
      <w:r>
        <w:t xml:space="preserve">excepciones conocidas; y</w:t>
      </w:r>
    </w:p>
    <w:p>
      <w:pPr>
        <w:numPr>
          <w:ilvl w:val="0"/>
          <w:numId w:val="1008"/>
        </w:numPr>
        <w:pStyle w:val="Compact"/>
      </w:pPr>
      <w:r>
        <w:t xml:space="preserve">estado de preparación.</w:t>
      </w:r>
    </w:p>
    <w:bookmarkEnd w:id="42"/>
    <w:bookmarkStart w:id="43" w:name="diseño-de-control-de-valor"/>
    <w:p>
      <w:pPr>
        <w:pStyle w:val="Heading2"/>
      </w:pPr>
      <w:r>
        <w:t xml:space="preserve">2.2 Diseño de control de valor</w:t>
      </w:r>
    </w:p>
    <w:p>
      <w:pPr>
        <w:pStyle w:val="FirstParagraph"/>
      </w:pPr>
      <w:r>
        <w:t xml:space="preserve">Una revisión del diseño pregunta si el control, si se realiza como se describe, podría razonablemente alcanzar su objetivo. Evaluar si:</w:t>
      </w:r>
    </w:p>
    <w:p>
      <w:pPr>
        <w:numPr>
          <w:ilvl w:val="0"/>
          <w:numId w:val="1010"/>
        </w:numPr>
        <w:pStyle w:val="Compact"/>
      </w:pPr>
      <w:r>
        <w:t xml:space="preserve">el objetivo de control se alinea con el criterio y el riesgo;</w:t>
      </w:r>
    </w:p>
    <w:p>
      <w:pPr>
        <w:numPr>
          <w:ilvl w:val="0"/>
          <w:numId w:val="1010"/>
        </w:numPr>
        <w:pStyle w:val="Compact"/>
      </w:pPr>
      <w:r>
        <w:t xml:space="preserve">el control aborda la población y el alcance correctos;</w:t>
      </w:r>
    </w:p>
    <w:p>
      <w:pPr>
        <w:numPr>
          <w:ilvl w:val="0"/>
          <w:numId w:val="1010"/>
        </w:numPr>
        <w:pStyle w:val="Compact"/>
      </w:pPr>
      <w:r>
        <w:t xml:space="preserve">la responsabilidad y la autoridad son claras;</w:t>
      </w:r>
    </w:p>
    <w:p>
      <w:pPr>
        <w:numPr>
          <w:ilvl w:val="0"/>
          <w:numId w:val="1010"/>
        </w:numPr>
        <w:pStyle w:val="Compact"/>
      </w:pPr>
      <w:r>
        <w:t xml:space="preserve">el tiempo y la frecuencia son adecuados;</w:t>
      </w:r>
    </w:p>
    <w:p>
      <w:pPr>
        <w:numPr>
          <w:ilvl w:val="0"/>
          <w:numId w:val="1010"/>
        </w:numPr>
        <w:pStyle w:val="Compact"/>
      </w:pPr>
      <w:r>
        <w:t xml:space="preserve">los insumos necesarios son fiables y completos;</w:t>
      </w:r>
    </w:p>
    <w:p>
      <w:pPr>
        <w:numPr>
          <w:ilvl w:val="0"/>
          <w:numId w:val="1010"/>
        </w:numPr>
        <w:pStyle w:val="Compact"/>
      </w:pPr>
      <w:r>
        <w:t xml:space="preserve">se definen las normas y los umbrales de decisión;</w:t>
      </w:r>
    </w:p>
    <w:p>
      <w:pPr>
        <w:numPr>
          <w:ilvl w:val="0"/>
          <w:numId w:val="1010"/>
        </w:numPr>
        <w:pStyle w:val="Compact"/>
      </w:pPr>
      <w:r>
        <w:t xml:space="preserve">se identifican las excepciones y se intensifican;</w:t>
      </w:r>
    </w:p>
    <w:p>
      <w:pPr>
        <w:numPr>
          <w:ilvl w:val="0"/>
          <w:numId w:val="1010"/>
        </w:numPr>
        <w:pStyle w:val="Compact"/>
      </w:pPr>
    </w:p>
    <w:p>
      <w:pPr>
        <w:numPr>
          <w:ilvl w:val="1"/>
          <w:numId w:val="1011"/>
        </w:numPr>
        <w:pStyle w:val="Compact"/>
      </w:pPr>
      <w:r>
        <w:t xml:space="preserve">Se mantienen pruebas;</w:t>
      </w:r>
    </w:p>
    <w:p>
      <w:pPr>
        <w:numPr>
          <w:ilvl w:val="0"/>
          <w:numId w:val="1010"/>
        </w:numPr>
        <w:pStyle w:val="Compact"/>
      </w:pPr>
      <w:r>
        <w:t xml:space="preserve">se entiende por dependencia; y</w:t>
      </w:r>
    </w:p>
    <w:p>
      <w:pPr>
        <w:numPr>
          <w:ilvl w:val="0"/>
          <w:numId w:val="1010"/>
        </w:numPr>
        <w:pStyle w:val="Compact"/>
      </w:pPr>
      <w:r>
        <w:t xml:space="preserve">el control se documenta consistentemente con la práctica real.</w:t>
      </w:r>
    </w:p>
    <w:p>
      <w:pPr>
        <w:pStyle w:val="FirstParagraph"/>
      </w:pPr>
      <w:r>
        <w:t xml:space="preserve">Un control puede ser documentado pero mal diseñado. También puede funcionar informalmente pero carece de suficiente definición, propiedad o evidencia para apoyar el desempeño repetible.</w:t>
      </w:r>
    </w:p>
    <w:bookmarkEnd w:id="43"/>
    <w:bookmarkStart w:id="44" w:name="evaluación-de-la-aplicación"/>
    <w:p>
      <w:pPr>
        <w:pStyle w:val="Heading2"/>
      </w:pPr>
      <w:r>
        <w:t xml:space="preserve">2.3 Evaluación de la aplicación</w:t>
      </w:r>
    </w:p>
    <w:p>
      <w:pPr>
        <w:pStyle w:val="FirstParagraph"/>
      </w:pPr>
      <w:r>
        <w:t xml:space="preserve">El examen de la aplicación confirma que en realidad se ha puesto en funcionamiento el control diseñado. Busque procedimientos aprobados, sistemas configurados, roles asignados, entrenamiento completado, logging habilitado, rutinas de revisión establecidas y registros operativos iniciales.</w:t>
      </w:r>
    </w:p>
    <w:p>
      <w:pPr>
        <w:pStyle w:val="BodyText"/>
      </w:pPr>
      <w:r>
        <w:t xml:space="preserve">No etiquetar un control implementado cuando se mantiene planificado, parcialmente desplegado, limitado a un piloto, inactivo para parte del alcance, o dependiente de un tercero unverificado.</w:t>
      </w:r>
    </w:p>
    <w:bookmarkEnd w:id="44"/>
    <w:bookmarkStart w:id="45" w:name="evaluar-la-eficacia-operacional"/>
    <w:p>
      <w:pPr>
        <w:pStyle w:val="Heading2"/>
      </w:pPr>
      <w:r>
        <w:t xml:space="preserve">2.4 Evaluar la eficacia operacional</w:t>
      </w:r>
    </w:p>
    <w:p>
      <w:pPr>
        <w:pStyle w:val="FirstParagraph"/>
      </w:pPr>
      <w:r>
        <w:t xml:space="preserve">Las pruebas de eficacia operacional preguntan si el control funcionaba de forma sistemática y alcanzó su resultado previsto durante el período de examen. Los procedimientos pueden incluir:</w:t>
      </w:r>
    </w:p>
    <w:p>
      <w:pPr>
        <w:numPr>
          <w:ilvl w:val="0"/>
          <w:numId w:val="1012"/>
        </w:numPr>
        <w:pStyle w:val="Compact"/>
      </w:pPr>
      <w:r>
        <w:t xml:space="preserve">examinar políticas, entradas, registros, informes, aprobaciones, configuraciones y registros del sistema;</w:t>
      </w:r>
    </w:p>
    <w:p>
      <w:pPr>
        <w:numPr>
          <w:ilvl w:val="0"/>
          <w:numId w:val="1012"/>
        </w:numPr>
        <w:pStyle w:val="Compact"/>
      </w:pPr>
      <w:r>
        <w:t xml:space="preserve">entrevistar a propietarios, operadores, revisores y personal afectado;</w:t>
      </w:r>
    </w:p>
    <w:p>
      <w:pPr>
        <w:numPr>
          <w:ilvl w:val="0"/>
          <w:numId w:val="1012"/>
        </w:numPr>
        <w:pStyle w:val="Compact"/>
      </w:pPr>
      <w:r>
        <w:t xml:space="preserve">observar el desempeño del control;</w:t>
      </w:r>
    </w:p>
    <w:p>
      <w:pPr>
        <w:numPr>
          <w:ilvl w:val="0"/>
          <w:numId w:val="1012"/>
        </w:numPr>
        <w:pStyle w:val="Compact"/>
      </w:pPr>
      <w:r>
        <w:t xml:space="preserve">reperformance;</w:t>
      </w:r>
    </w:p>
    <w:p>
      <w:pPr>
        <w:numPr>
          <w:ilvl w:val="0"/>
          <w:numId w:val="1012"/>
        </w:numPr>
        <w:pStyle w:val="Compact"/>
      </w:pPr>
      <w:r>
        <w:t xml:space="preserve">inspección de configuración;</w:t>
      </w:r>
    </w:p>
    <w:p>
      <w:pPr>
        <w:numPr>
          <w:ilvl w:val="0"/>
          <w:numId w:val="1012"/>
        </w:numPr>
        <w:pStyle w:val="Compact"/>
      </w:pPr>
      <w:r>
        <w:t xml:space="preserve">análisis de datos;</w:t>
      </w:r>
    </w:p>
    <w:p>
      <w:pPr>
        <w:numPr>
          <w:ilvl w:val="0"/>
          <w:numId w:val="1012"/>
        </w:numPr>
        <w:pStyle w:val="Compact"/>
      </w:pPr>
      <w:r>
        <w:t xml:space="preserve">reconciliación de la población; y</w:t>
      </w:r>
    </w:p>
    <w:p>
      <w:pPr>
        <w:numPr>
          <w:ilvl w:val="0"/>
          <w:numId w:val="1012"/>
        </w:numPr>
        <w:pStyle w:val="Compact"/>
      </w:pPr>
      <w:r>
        <w:t xml:space="preserve">Prueba de muestra.</w:t>
      </w:r>
    </w:p>
    <w:p>
      <w:pPr>
        <w:pStyle w:val="FirstParagraph"/>
      </w:pPr>
      <w:r>
        <w:t xml:space="preserve">El procedimiento, la población, la selección de muestras, las excepciones, las limitaciones y la conclusión deben registrarse claramente para que un revisor informado entienda lo que se hace.</w:t>
      </w:r>
    </w:p>
    <w:bookmarkEnd w:id="45"/>
    <w:bookmarkStart w:id="46" w:name="modelo-de-estado-de-lectura"/>
    <w:p>
      <w:pPr>
        <w:pStyle w:val="Heading2"/>
      </w:pPr>
      <w:r>
        <w:t xml:space="preserve">2.5 Modelo de estado de lectura</w:t>
      </w:r>
    </w:p>
    <w:p>
      <w:pPr>
        <w:pStyle w:val="FirstParagraph"/>
      </w:pPr>
      <w:r>
        <w:t xml:space="preserve">Utilice un modelo de estado definido. Un modelo práctico es:</w:t>
      </w:r>
    </w:p>
    <w:p>
      <w:pPr>
        <w:numPr>
          <w:ilvl w:val="0"/>
          <w:numId w:val="1013"/>
        </w:numPr>
        <w:pStyle w:val="Compact"/>
      </w:pPr>
      <w:r>
        <w:rPr>
          <w:bCs/>
          <w:b/>
        </w:rPr>
        <w:t xml:space="preserve">No aplicable:</w:t>
      </w:r>
      <w:r>
        <w:t xml:space="preserve"> </w:t>
      </w:r>
      <w:r>
        <w:t xml:space="preserve">apoyada por el alcance y la justificación documentados.</w:t>
      </w:r>
    </w:p>
    <w:p>
      <w:pPr>
        <w:numPr>
          <w:ilvl w:val="0"/>
          <w:numId w:val="1013"/>
        </w:numPr>
        <w:pStyle w:val="Compact"/>
      </w:pPr>
      <w:r>
        <w:rPr>
          <w:bCs/>
          <w:b/>
        </w:rPr>
        <w:t xml:space="preserve">No se ha evaluado:</w:t>
      </w:r>
      <w:r>
        <w:t xml:space="preserve"> </w:t>
      </w:r>
      <w:r>
        <w:t xml:space="preserve">no se ha llegado a ninguna conclusión.</w:t>
      </w:r>
    </w:p>
    <w:p>
      <w:pPr>
        <w:numPr>
          <w:ilvl w:val="0"/>
          <w:numId w:val="1013"/>
        </w:numPr>
        <w:pStyle w:val="Compact"/>
      </w:pPr>
      <w:r>
        <w:rPr>
          <w:bCs/>
          <w:b/>
        </w:rPr>
        <w:t xml:space="preserve">No diseñado:</w:t>
      </w:r>
      <w:r>
        <w:t xml:space="preserve"> </w:t>
      </w:r>
      <w:r>
        <w:t xml:space="preserve">ningún control o diseño materialmente insuficiente.</w:t>
      </w:r>
    </w:p>
    <w:p>
      <w:pPr>
        <w:numPr>
          <w:ilvl w:val="0"/>
          <w:numId w:val="1013"/>
        </w:numPr>
        <w:pStyle w:val="Compact"/>
      </w:pPr>
      <w:r>
        <w:rPr>
          <w:bCs/>
          <w:b/>
        </w:rPr>
        <w:t xml:space="preserve">Diseñada, no implementada:</w:t>
      </w:r>
      <w:r>
        <w:t xml:space="preserve"> </w:t>
      </w:r>
      <w:r>
        <w:t xml:space="preserve">el diseño existe pero la operación no ha comenzado.</w:t>
      </w:r>
    </w:p>
    <w:p>
      <w:pPr>
        <w:numPr>
          <w:ilvl w:val="0"/>
          <w:numId w:val="1013"/>
        </w:numPr>
        <w:pStyle w:val="Compact"/>
      </w:pPr>
      <w:r>
        <w:t xml:space="preserve">** Aplicación parcial:** La operación es incompleta en todo el alcance, población o período.</w:t>
      </w:r>
    </w:p>
    <w:p>
      <w:pPr>
        <w:numPr>
          <w:ilvl w:val="0"/>
          <w:numId w:val="1013"/>
        </w:numPr>
        <w:pStyle w:val="Compact"/>
      </w:pPr>
      <w:r>
        <w:rPr>
          <w:bCs/>
          <w:b/>
        </w:rPr>
        <w:t xml:space="preserve">Implementado, evidencia insuficiente:</w:t>
      </w:r>
      <w:r>
        <w:t xml:space="preserve"> </w:t>
      </w:r>
      <w:r>
        <w:t xml:space="preserve">el control puede funcionar, pero las pruebas disponibles no pueden apoyar la conclusión.</w:t>
      </w:r>
    </w:p>
    <w:p>
      <w:pPr>
        <w:numPr>
          <w:ilvl w:val="0"/>
          <w:numId w:val="1013"/>
        </w:numPr>
        <w:pStyle w:val="Compact"/>
      </w:pPr>
      <w:r>
        <w:rPr>
          <w:bCs/>
          <w:b/>
        </w:rPr>
        <w:t xml:space="preserve">Operación con excepciones:</w:t>
      </w:r>
      <w:r>
        <w:t xml:space="preserve"> </w:t>
      </w:r>
      <w:r>
        <w:t xml:space="preserve">control operado, pero las excepciones requieren evaluación.</w:t>
      </w:r>
    </w:p>
    <w:p>
      <w:pPr>
        <w:numPr>
          <w:ilvl w:val="0"/>
          <w:numId w:val="1013"/>
        </w:numPr>
        <w:pStyle w:val="Compact"/>
      </w:pPr>
      <w:r>
        <w:rPr>
          <w:bCs/>
          <w:b/>
        </w:rPr>
        <w:t xml:space="preserve">Operar eficazmente:</w:t>
      </w:r>
      <w:r>
        <w:t xml:space="preserve"> </w:t>
      </w:r>
      <w:r>
        <w:t xml:space="preserve">la evidencia apoya el diseño, la aplicación y la operación para el alcance y el período evaluados.</w:t>
      </w:r>
    </w:p>
    <w:p>
      <w:pPr>
        <w:numPr>
          <w:ilvl w:val="0"/>
          <w:numId w:val="1013"/>
        </w:numPr>
        <w:pStyle w:val="Compact"/>
      </w:pPr>
      <w:r>
        <w:rPr>
          <w:bCs/>
          <w:b/>
        </w:rPr>
        <w:t xml:space="preserve">Se acepta o se aprueba una excepción:</w:t>
      </w:r>
      <w:r>
        <w:t xml:space="preserve"> </w:t>
      </w:r>
      <w:r>
        <w:t xml:space="preserve">existe un tratamiento autorizado por separado; esto no es equivalente a la eficacia operativa.</w:t>
      </w:r>
    </w:p>
    <w:bookmarkEnd w:id="46"/>
    <w:bookmarkStart w:id="47" w:name="disciplina-de-muestreo"/>
    <w:p>
      <w:pPr>
        <w:pStyle w:val="Heading2"/>
      </w:pPr>
      <w:r>
        <w:t xml:space="preserve">2.6 Disciplina de muestreo</w:t>
      </w:r>
    </w:p>
    <w:p>
      <w:pPr>
        <w:pStyle w:val="FirstParagraph"/>
      </w:pPr>
      <w:r>
        <w:t xml:space="preserve">El muestreo debe vincularse con la frecuencia de control, el tamaño de la población, el período de examen, el riesgo, la desviación esperada, el funcionamiento automatizado versus manual y los requisitos de evaluación. Grabación:</w:t>
      </w:r>
    </w:p>
    <w:p>
      <w:pPr>
        <w:numPr>
          <w:ilvl w:val="0"/>
          <w:numId w:val="1014"/>
        </w:numPr>
        <w:pStyle w:val="Compact"/>
      </w:pPr>
      <w:r>
        <w:t xml:space="preserve">fuente completa de población;</w:t>
      </w:r>
    </w:p>
    <w:p>
      <w:pPr>
        <w:numPr>
          <w:ilvl w:val="0"/>
          <w:numId w:val="1014"/>
        </w:numPr>
        <w:pStyle w:val="Compact"/>
      </w:pPr>
      <w:r>
        <w:t xml:space="preserve">tamaño y período de población;</w:t>
      </w:r>
    </w:p>
    <w:p>
      <w:pPr>
        <w:numPr>
          <w:ilvl w:val="0"/>
          <w:numId w:val="1014"/>
        </w:numPr>
        <w:pStyle w:val="Compact"/>
      </w:pPr>
      <w:r>
        <w:t xml:space="preserve">método de selección;</w:t>
      </w:r>
    </w:p>
    <w:p>
      <w:pPr>
        <w:numPr>
          <w:ilvl w:val="0"/>
          <w:numId w:val="1014"/>
        </w:numPr>
        <w:pStyle w:val="Compact"/>
      </w:pPr>
      <w:r>
        <w:t xml:space="preserve">tamaño de la muestra y racionalidad;</w:t>
      </w:r>
    </w:p>
    <w:p>
      <w:pPr>
        <w:numPr>
          <w:ilvl w:val="0"/>
          <w:numId w:val="1014"/>
        </w:numPr>
        <w:pStyle w:val="Compact"/>
      </w:pPr>
      <w:r>
        <w:t xml:space="preserve">determinados artículos;</w:t>
      </w:r>
    </w:p>
    <w:p>
      <w:pPr>
        <w:numPr>
          <w:ilvl w:val="0"/>
          <w:numId w:val="1014"/>
        </w:numPr>
        <w:pStyle w:val="Compact"/>
      </w:pPr>
      <w:r>
        <w:t xml:space="preserve">sustituciones y razones;</w:t>
      </w:r>
    </w:p>
    <w:p>
      <w:pPr>
        <w:numPr>
          <w:ilvl w:val="0"/>
          <w:numId w:val="1014"/>
        </w:numPr>
        <w:pStyle w:val="Compact"/>
      </w:pPr>
      <w:r>
        <w:t xml:space="preserve">excepciones;</w:t>
      </w:r>
    </w:p>
    <w:p>
      <w:pPr>
        <w:numPr>
          <w:ilvl w:val="0"/>
          <w:numId w:val="1014"/>
        </w:numPr>
        <w:pStyle w:val="Compact"/>
      </w:pPr>
      <w:r>
        <w:t xml:space="preserve">decisiones de ampliación; y</w:t>
      </w:r>
    </w:p>
    <w:p>
      <w:pPr>
        <w:numPr>
          <w:ilvl w:val="0"/>
          <w:numId w:val="1014"/>
        </w:numPr>
        <w:pStyle w:val="Compact"/>
      </w:pPr>
      <w:r>
        <w:t xml:space="preserve">limitaciones.</w:t>
      </w:r>
    </w:p>
    <w:p>
      <w:pPr>
        <w:pStyle w:val="FirstParagraph"/>
      </w:pPr>
      <w:r>
        <w:t xml:space="preserve">Las muestras de conveniencia y ejemplos exitosos seleccionados a mano no deben ser representados como evidencia imparcial.</w:t>
      </w:r>
    </w:p>
    <w:bookmarkEnd w:id="47"/>
    <w:bookmarkStart w:id="48" w:name="categorías-de-las-partidas"/>
    <w:p>
      <w:pPr>
        <w:pStyle w:val="Heading2"/>
      </w:pPr>
      <w:r>
        <w:t xml:space="preserve">2.7 Categorías de las partidas</w:t>
      </w:r>
    </w:p>
    <w:p>
      <w:pPr>
        <w:pStyle w:val="FirstParagraph"/>
      </w:pPr>
      <w:r>
        <w:t xml:space="preserve">Clasifique las lagunas de forma sistemática:</w:t>
      </w:r>
    </w:p>
    <w:p>
      <w:pPr>
        <w:numPr>
          <w:ilvl w:val="0"/>
          <w:numId w:val="1015"/>
        </w:numPr>
        <w:pStyle w:val="Compact"/>
      </w:pPr>
      <w:r>
        <w:t xml:space="preserve">falta de control;</w:t>
      </w:r>
    </w:p>
    <w:p>
      <w:pPr>
        <w:numPr>
          <w:ilvl w:val="0"/>
          <w:numId w:val="1015"/>
        </w:numPr>
        <w:pStyle w:val="Compact"/>
      </w:pPr>
      <w:r>
        <w:t xml:space="preserve">deficiencia de diseño;</w:t>
      </w:r>
    </w:p>
    <w:p>
      <w:pPr>
        <w:numPr>
          <w:ilvl w:val="0"/>
          <w:numId w:val="1015"/>
        </w:numPr>
        <w:pStyle w:val="Compact"/>
      </w:pPr>
      <w:r>
        <w:t xml:space="preserve">la aplicación incompleta;</w:t>
      </w:r>
    </w:p>
    <w:p>
      <w:pPr>
        <w:numPr>
          <w:ilvl w:val="0"/>
          <w:numId w:val="1015"/>
        </w:numPr>
        <w:pStyle w:val="Compact"/>
      </w:pPr>
      <w:r>
        <w:t xml:space="preserve">fracaso operativo;</w:t>
      </w:r>
    </w:p>
    <w:p>
      <w:pPr>
        <w:numPr>
          <w:ilvl w:val="0"/>
          <w:numId w:val="1015"/>
        </w:numPr>
        <w:pStyle w:val="Compact"/>
      </w:pPr>
      <w:r>
        <w:t xml:space="preserve">deficiencia de pruebas;</w:t>
      </w:r>
    </w:p>
    <w:p>
      <w:pPr>
        <w:numPr>
          <w:ilvl w:val="0"/>
          <w:numId w:val="1015"/>
        </w:numPr>
        <w:pStyle w:val="Compact"/>
      </w:pPr>
      <w:r>
        <w:t xml:space="preserve">ambigüedad de alcance o propiedad;</w:t>
      </w:r>
    </w:p>
    <w:p>
      <w:pPr>
        <w:numPr>
          <w:ilvl w:val="0"/>
          <w:numId w:val="1015"/>
        </w:numPr>
        <w:pStyle w:val="Compact"/>
      </w:pPr>
      <w:r>
        <w:t xml:space="preserve">incoherencia política a práctica;</w:t>
      </w:r>
    </w:p>
    <w:p>
      <w:pPr>
        <w:numPr>
          <w:ilvl w:val="0"/>
          <w:numId w:val="1015"/>
        </w:numPr>
        <w:pStyle w:val="Compact"/>
      </w:pPr>
      <w:r>
        <w:t xml:space="preserve">insuficiencia de dependencia de control heredado;</w:t>
      </w:r>
    </w:p>
    <w:p>
      <w:pPr>
        <w:numPr>
          <w:ilvl w:val="0"/>
          <w:numId w:val="1015"/>
        </w:numPr>
        <w:pStyle w:val="Compact"/>
      </w:pPr>
      <w:r>
        <w:t xml:space="preserve">deficiencia de vigilancia;</w:t>
      </w:r>
    </w:p>
    <w:p>
      <w:pPr>
        <w:numPr>
          <w:ilvl w:val="0"/>
          <w:numId w:val="1015"/>
        </w:numPr>
        <w:pStyle w:val="Compact"/>
      </w:pPr>
      <w:r>
        <w:t xml:space="preserve">repetir la búsqueda; y</w:t>
      </w:r>
    </w:p>
    <w:p>
      <w:pPr>
        <w:numPr>
          <w:ilvl w:val="0"/>
          <w:numId w:val="1015"/>
        </w:numPr>
        <w:pStyle w:val="Compact"/>
      </w:pPr>
      <w:r>
        <w:t xml:space="preserve">no apoyada afirmación de gestión.</w:t>
      </w:r>
    </w:p>
    <w:p>
      <w:pPr>
        <w:pStyle w:val="FirstParagraph"/>
      </w:pPr>
      <w:r>
        <w:t xml:space="preserve">La categoría ayuda a determinar la causa raíz y la acción correctiva. Una deficiencia de evidencia no debe tratarse automáticamente como prueba de que el control falló, pero la incapacidad de demostrar la operación puede todavía crear auditoría y exposición al cumplimiento.</w:t>
      </w:r>
    </w:p>
    <w:bookmarkEnd w:id="48"/>
    <w:bookmarkStart w:id="49" w:name="Xb94d0cb5cc5fb1a2dfe4c489bd1ea658288e152"/>
    <w:p>
      <w:pPr>
        <w:pStyle w:val="Heading2"/>
      </w:pPr>
      <w:r>
        <w:t xml:space="preserve">2.8 Examen de la calidad antes de presentar informes</w:t>
      </w:r>
    </w:p>
    <w:p>
      <w:pPr>
        <w:pStyle w:val="FirstParagraph"/>
      </w:pPr>
      <w:r>
        <w:t xml:space="preserve">Antes de emitir resultados de preparación, confirme que:</w:t>
      </w:r>
    </w:p>
    <w:p>
      <w:pPr>
        <w:numPr>
          <w:ilvl w:val="0"/>
          <w:numId w:val="1016"/>
        </w:numPr>
        <w:pStyle w:val="Compact"/>
      </w:pPr>
      <w:r>
        <w:t xml:space="preserve">criterios y versiones son correctas;</w:t>
      </w:r>
    </w:p>
    <w:p>
      <w:pPr>
        <w:numPr>
          <w:ilvl w:val="0"/>
          <w:numId w:val="1016"/>
        </w:numPr>
        <w:pStyle w:val="Compact"/>
      </w:pPr>
      <w:r>
        <w:t xml:space="preserve">el alcance y el período son explícitos;</w:t>
      </w:r>
    </w:p>
    <w:p>
      <w:pPr>
        <w:numPr>
          <w:ilvl w:val="0"/>
          <w:numId w:val="1016"/>
        </w:numPr>
        <w:pStyle w:val="Compact"/>
      </w:pPr>
      <w:r>
        <w:t xml:space="preserve">La evidencia es rastreable y protegida;</w:t>
      </w:r>
    </w:p>
    <w:p>
      <w:pPr>
        <w:numPr>
          <w:ilvl w:val="0"/>
          <w:numId w:val="1016"/>
        </w:numPr>
        <w:pStyle w:val="Compact"/>
      </w:pPr>
      <w:r>
        <w:t xml:space="preserve">se documentan los procedimientos realizados;</w:t>
      </w:r>
    </w:p>
    <w:p>
      <w:pPr>
        <w:numPr>
          <w:ilvl w:val="0"/>
          <w:numId w:val="1016"/>
        </w:numPr>
        <w:pStyle w:val="Compact"/>
      </w:pPr>
    </w:p>
    <w:p>
      <w:pPr>
        <w:numPr>
          <w:ilvl w:val="1"/>
          <w:numId w:val="1017"/>
        </w:numPr>
        <w:pStyle w:val="Compact"/>
      </w:pPr>
      <w:r>
        <w:t xml:space="preserve">las conclusiones de las pruebas;</w:t>
      </w:r>
    </w:p>
    <w:p>
      <w:pPr>
        <w:numPr>
          <w:ilvl w:val="0"/>
          <w:numId w:val="1016"/>
        </w:numPr>
        <w:pStyle w:val="Compact"/>
      </w:pPr>
      <w:r>
        <w:t xml:space="preserve">las excepciones no se minimizan ni se exageran;</w:t>
      </w:r>
    </w:p>
    <w:p>
      <w:pPr>
        <w:numPr>
          <w:ilvl w:val="0"/>
          <w:numId w:val="1016"/>
        </w:numPr>
        <w:pStyle w:val="Compact"/>
      </w:pPr>
      <w:r>
        <w:t xml:space="preserve">se consolidan adecuadamente las cuestiones duplicadas;</w:t>
      </w:r>
    </w:p>
    <w:p>
      <w:pPr>
        <w:numPr>
          <w:ilvl w:val="0"/>
          <w:numId w:val="1016"/>
        </w:numPr>
        <w:pStyle w:val="Compact"/>
      </w:pPr>
      <w:r>
        <w:t xml:space="preserve">la gravedad se aplica sistemáticamente;</w:t>
      </w:r>
    </w:p>
    <w:p>
      <w:pPr>
        <w:numPr>
          <w:ilvl w:val="0"/>
          <w:numId w:val="1016"/>
        </w:numPr>
        <w:pStyle w:val="Compact"/>
      </w:pPr>
      <w:r>
        <w:t xml:space="preserve">se registran hechos de gestión y desacuerdos; y</w:t>
      </w:r>
    </w:p>
    <w:p>
      <w:pPr>
        <w:numPr>
          <w:ilvl w:val="0"/>
          <w:numId w:val="1016"/>
        </w:numPr>
        <w:pStyle w:val="Compact"/>
      </w:pPr>
      <w:r>
        <w:t xml:space="preserve">Las limitaciones son visibles.</w:t>
      </w:r>
    </w:p>
    <w:bookmarkEnd w:id="49"/>
    <w:bookmarkEnd w:id="50"/>
    <w:bookmarkStart w:id="60" w:name="X300c880bbb8c0727701c7d0fcaf884d0e49ca9d"/>
    <w:p>
      <w:pPr>
        <w:pStyle w:val="Heading1"/>
      </w:pPr>
      <w:r>
        <w:t xml:space="preserve">Conclusiones, Causa raíz y priorización del riesgo</w:t>
      </w:r>
    </w:p>
    <w:bookmarkStart w:id="51" w:name="propósito"/>
    <w:p>
      <w:pPr>
        <w:pStyle w:val="Heading2"/>
      </w:pPr>
      <w:r>
        <w:t xml:space="preserve">Propósito</w:t>
      </w:r>
    </w:p>
    <w:p>
      <w:pPr>
        <w:pStyle w:val="FirstParagraph"/>
      </w:pPr>
      <w:r>
        <w:t xml:space="preserve">Una determinación de la disponibilidad debe describir una condición verificada, el criterio aplicable, las pruebas examinadas, el riesgo resultante y las medidas necesarias. No debe ser una crítica vaga, una conclusión sin apoyo, o una preferencia disfrazada.</w:t>
      </w:r>
    </w:p>
    <w:bookmarkEnd w:id="51"/>
    <w:bookmarkStart w:id="52" w:name="encontrar-anatomía"/>
    <w:p>
      <w:pPr>
        <w:pStyle w:val="Heading2"/>
      </w:pPr>
      <w:r>
        <w:t xml:space="preserve">Encontrar anatomía</w:t>
      </w:r>
    </w:p>
    <w:p>
      <w:pPr>
        <w:pStyle w:val="FirstParagraph"/>
      </w:pPr>
      <w:r>
        <w:t xml:space="preserve">Un hallazgo defensible normalmente contiene:</w:t>
      </w:r>
    </w:p>
    <w:p>
      <w:pPr>
        <w:numPr>
          <w:ilvl w:val="0"/>
          <w:numId w:val="1018"/>
        </w:numPr>
        <w:pStyle w:val="Compact"/>
      </w:pPr>
      <w:r>
        <w:rPr>
          <w:bCs/>
          <w:b/>
        </w:rPr>
        <w:t xml:space="preserve">Criterión</w:t>
      </w:r>
      <w:r>
        <w:t xml:space="preserve">: el requisito, objetivo de control, política, procedimiento, plazo de contrato o norma interna aprobada.</w:t>
      </w:r>
    </w:p>
    <w:p>
      <w:pPr>
        <w:numPr>
          <w:ilvl w:val="0"/>
          <w:numId w:val="1018"/>
        </w:numPr>
        <w:pStyle w:val="Compact"/>
      </w:pPr>
      <w:r>
        <w:rPr>
          <w:bCs/>
          <w:b/>
        </w:rPr>
        <w:t xml:space="preserve">Condición</w:t>
      </w:r>
      <w:r>
        <w:t xml:space="preserve"> </w:t>
      </w:r>
      <w:r>
        <w:t xml:space="preserve">— lo que se observó.</w:t>
      </w:r>
    </w:p>
    <w:p>
      <w:pPr>
        <w:numPr>
          <w:ilvl w:val="0"/>
          <w:numId w:val="1018"/>
        </w:numPr>
        <w:pStyle w:val="Compact"/>
      </w:pPr>
      <w:r>
        <w:rPr>
          <w:bCs/>
          <w:b/>
        </w:rPr>
        <w:t xml:space="preserve">Evidencia</w:t>
      </w:r>
      <w:r>
        <w:t xml:space="preserve"> </w:t>
      </w:r>
      <w:r>
        <w:t xml:space="preserve">— los registros, entrevistas, pruebas, muestras o salidas del sistema que apoyan la condición.</w:t>
      </w:r>
    </w:p>
    <w:p>
      <w:pPr>
        <w:numPr>
          <w:ilvl w:val="0"/>
          <w:numId w:val="1018"/>
        </w:numPr>
        <w:pStyle w:val="Compact"/>
      </w:pPr>
      <w:r>
        <w:t xml:space="preserve">Causa**: la razón subyacente que existe la condición.</w:t>
      </w:r>
    </w:p>
    <w:p>
      <w:pPr>
        <w:numPr>
          <w:ilvl w:val="0"/>
          <w:numId w:val="1018"/>
        </w:numPr>
        <w:pStyle w:val="Compact"/>
      </w:pPr>
      <w:r>
        <w:rPr>
          <w:bCs/>
          <w:b/>
        </w:rPr>
        <w:t xml:space="preserve">Efecto o riesgo</w:t>
      </w:r>
      <w:r>
        <w:t xml:space="preserve"> </w:t>
      </w:r>
      <w:r>
        <w:t xml:space="preserve">— la consecuencia real o plausible.</w:t>
      </w:r>
    </w:p>
    <w:p>
      <w:pPr>
        <w:numPr>
          <w:ilvl w:val="0"/>
          <w:numId w:val="1018"/>
        </w:numPr>
        <w:pStyle w:val="Compact"/>
      </w:pPr>
      <w:r>
        <w:rPr>
          <w:bCs/>
          <w:b/>
        </w:rPr>
        <w:t xml:space="preserve">Scope</w:t>
      </w:r>
      <w:r>
        <w:t xml:space="preserve"> </w:t>
      </w:r>
      <w:r>
        <w:t xml:space="preserve">— sistemas, procesos, ubicaciones, poblaciones y períodos afectados.</w:t>
      </w:r>
    </w:p>
    <w:p>
      <w:pPr>
        <w:numPr>
          <w:ilvl w:val="0"/>
          <w:numId w:val="1018"/>
        </w:numPr>
        <w:pStyle w:val="Compact"/>
      </w:pPr>
      <w:r>
        <w:rPr>
          <w:bCs/>
          <w:b/>
        </w:rPr>
        <w:t xml:space="preserve">Owner</w:t>
      </w:r>
      <w:r>
        <w:t xml:space="preserve"> </w:t>
      </w:r>
      <w:r>
        <w:t xml:space="preserve">— la persona o función responsable.</w:t>
      </w:r>
    </w:p>
    <w:p>
      <w:pPr>
        <w:numPr>
          <w:ilvl w:val="0"/>
          <w:numId w:val="1018"/>
        </w:numPr>
        <w:pStyle w:val="Compact"/>
      </w:pPr>
      <w:r>
        <w:rPr>
          <w:bCs/>
          <w:b/>
        </w:rPr>
        <w:t xml:space="preserve">Required response</w:t>
      </w:r>
      <w:r>
        <w:t xml:space="preserve"> </w:t>
      </w:r>
      <w:r>
        <w:t xml:space="preserve">— correction, containment, remediation, acceptance, or further analysis.</w:t>
      </w:r>
    </w:p>
    <w:bookmarkEnd w:id="52"/>
    <w:bookmarkStart w:id="53" w:name="observación-separada-desde-la-conclusión"/>
    <w:p>
      <w:pPr>
        <w:pStyle w:val="Heading2"/>
      </w:pPr>
      <w:r>
        <w:t xml:space="preserve">Observación separada desde la conclusión</w:t>
      </w:r>
    </w:p>
    <w:p>
      <w:pPr>
        <w:pStyle w:val="FirstParagraph"/>
      </w:pPr>
      <w:r>
        <w:t xml:space="preserve">Recordar hechos antes de aplicar etiquetas. Por ejemplo:</w:t>
      </w:r>
    </w:p>
    <w:p>
      <w:pPr>
        <w:numPr>
          <w:ilvl w:val="0"/>
          <w:numId w:val="1019"/>
        </w:numPr>
        <w:pStyle w:val="Compact"/>
      </w:pPr>
      <w:r>
        <w:t xml:space="preserve">Realidad: seis de las veinte cuentas de usuario final de la muestra permanecieron habilitadas más de cinco días hábiles después de la terminación.</w:t>
      </w:r>
    </w:p>
    <w:p>
      <w:pPr>
        <w:numPr>
          <w:ilvl w:val="0"/>
          <w:numId w:val="1019"/>
        </w:numPr>
        <w:pStyle w:val="Compact"/>
      </w:pPr>
      <w:r>
        <w:t xml:space="preserve">Criterio: el procedimiento de acceso aprobado requiere desactivación dentro de un día de negocio.</w:t>
      </w:r>
    </w:p>
    <w:p>
      <w:pPr>
        <w:numPr>
          <w:ilvl w:val="0"/>
          <w:numId w:val="1019"/>
        </w:numPr>
        <w:pStyle w:val="Compact"/>
      </w:pPr>
      <w:r>
        <w:t xml:space="preserve">Conclusión: el proceso muestreado no cumplía sistemáticamente el requisito de desactivación aprobado.</w:t>
      </w:r>
    </w:p>
    <w:p>
      <w:pPr>
        <w:pStyle w:val="FirstParagraph"/>
      </w:pPr>
      <w:r>
        <w:t xml:space="preserve">Esta secuencia hace que el razonamiento sea trazable y reduce las disputas basadas en la redacción.</w:t>
      </w:r>
    </w:p>
    <w:bookmarkEnd w:id="53"/>
    <w:bookmarkStart w:id="54" w:name="evite-encontrar-defectos-comunes"/>
    <w:p>
      <w:pPr>
        <w:pStyle w:val="Heading2"/>
      </w:pPr>
      <w:r>
        <w:t xml:space="preserve">Evite encontrar defectos comunes</w:t>
      </w:r>
    </w:p>
    <w:p>
      <w:pPr>
        <w:pStyle w:val="FirstParagraph"/>
      </w:pPr>
      <w:r>
        <w:t xml:space="preserve">No:</w:t>
      </w:r>
    </w:p>
    <w:p>
      <w:pPr>
        <w:numPr>
          <w:ilvl w:val="0"/>
          <w:numId w:val="1020"/>
        </w:numPr>
        <w:pStyle w:val="Compact"/>
      </w:pPr>
      <w:r>
        <w:t xml:space="preserve">cite a framework without identifying the relevant criterion;</w:t>
      </w:r>
    </w:p>
    <w:p>
      <w:pPr>
        <w:numPr>
          <w:ilvl w:val="0"/>
          <w:numId w:val="1020"/>
        </w:numPr>
        <w:pStyle w:val="Compact"/>
      </w:pPr>
      <w:r>
        <w:t xml:space="preserve">inferir el fracaso de toda la organización de una muestra no representativa;</w:t>
      </w:r>
    </w:p>
    <w:p>
      <w:pPr>
        <w:numPr>
          <w:ilvl w:val="0"/>
          <w:numId w:val="1020"/>
        </w:numPr>
        <w:pStyle w:val="Compact"/>
      </w:pPr>
      <w:r>
        <w:t xml:space="preserve">la intención del Estado o la negligencia sin pruebas;</w:t>
      </w:r>
    </w:p>
    <w:p>
      <w:pPr>
        <w:numPr>
          <w:ilvl w:val="0"/>
          <w:numId w:val="1020"/>
        </w:numPr>
        <w:pStyle w:val="Compact"/>
      </w:pPr>
      <w:r>
        <w:t xml:space="preserve">combinar cuestiones no relacionadas con una sola constatación;</w:t>
      </w:r>
    </w:p>
    <w:p>
      <w:pPr>
        <w:numPr>
          <w:ilvl w:val="0"/>
          <w:numId w:val="1020"/>
        </w:numPr>
        <w:pStyle w:val="Compact"/>
      </w:pPr>
      <w:r>
        <w:t xml:space="preserve">prescribir una solución técnica específica cuando múltiples tratamientos puedan satisfacer el objetivo;</w:t>
      </w:r>
    </w:p>
    <w:p>
      <w:pPr>
        <w:numPr>
          <w:ilvl w:val="0"/>
          <w:numId w:val="1020"/>
        </w:numPr>
        <w:pStyle w:val="Compact"/>
      </w:pPr>
      <w:r>
        <w:t xml:space="preserve">clasificar la gravedad sólo por preferencia del auditor;</w:t>
      </w:r>
    </w:p>
    <w:p>
      <w:pPr>
        <w:numPr>
          <w:ilvl w:val="0"/>
          <w:numId w:val="1020"/>
        </w:numPr>
        <w:pStyle w:val="Compact"/>
      </w:pPr>
      <w:r>
        <w:t xml:space="preserve">omitir controles compensatorios o pruebas contradictorias;</w:t>
      </w:r>
    </w:p>
    <w:p>
      <w:pPr>
        <w:numPr>
          <w:ilvl w:val="0"/>
          <w:numId w:val="1020"/>
        </w:numPr>
        <w:pStyle w:val="Compact"/>
      </w:pPr>
      <w:r>
        <w:t xml:space="preserve">cerrar un hallazgo simplemente porque se creó un documento.</w:t>
      </w:r>
    </w:p>
    <w:bookmarkEnd w:id="54"/>
    <w:bookmarkStart w:id="55" w:name="análisis-de-la-causa-raíz"/>
    <w:p>
      <w:pPr>
        <w:pStyle w:val="Heading2"/>
      </w:pPr>
      <w:r>
        <w:t xml:space="preserve">Análisis de la causa raíz</w:t>
      </w:r>
    </w:p>
    <w:p>
      <w:pPr>
        <w:pStyle w:val="FirstParagraph"/>
      </w:pPr>
      <w:r>
        <w:t xml:space="preserve">Una causa raíz no es el síntoma visible. Las categorías útiles incluyen:</w:t>
      </w:r>
    </w:p>
    <w:p>
      <w:pPr>
        <w:numPr>
          <w:ilvl w:val="0"/>
          <w:numId w:val="1021"/>
        </w:numPr>
        <w:pStyle w:val="Compact"/>
      </w:pPr>
      <w:r>
        <w:t xml:space="preserve">una rendición de cuentas clara;</w:t>
      </w:r>
    </w:p>
    <w:p>
      <w:pPr>
        <w:numPr>
          <w:ilvl w:val="0"/>
          <w:numId w:val="1021"/>
        </w:numPr>
        <w:pStyle w:val="Compact"/>
      </w:pPr>
      <w:r>
        <w:t xml:space="preserve">Necesidades desaparecidas o conflictivas;</w:t>
      </w:r>
    </w:p>
    <w:p>
      <w:pPr>
        <w:numPr>
          <w:ilvl w:val="0"/>
          <w:numId w:val="1021"/>
        </w:numPr>
        <w:pStyle w:val="Compact"/>
      </w:pPr>
    </w:p>
    <w:p>
      <w:pPr>
        <w:numPr>
          <w:ilvl w:val="1"/>
          <w:numId w:val="1022"/>
        </w:numPr>
        <w:pStyle w:val="Compact"/>
      </w:pPr>
      <w:r>
        <w:t xml:space="preserve">diseño inadecuado de procesos;</w:t>
      </w:r>
    </w:p>
    <w:p>
      <w:pPr>
        <w:numPr>
          <w:ilvl w:val="0"/>
          <w:numId w:val="1021"/>
        </w:numPr>
        <w:pStyle w:val="Compact"/>
      </w:pPr>
      <w:r>
        <w:t xml:space="preserve">insuficientes recursos o capacidad;</w:t>
      </w:r>
    </w:p>
    <w:p>
      <w:pPr>
        <w:numPr>
          <w:ilvl w:val="0"/>
          <w:numId w:val="1021"/>
        </w:numPr>
        <w:pStyle w:val="Compact"/>
      </w:pPr>
      <w:r>
        <w:t xml:space="preserve">capacitación ineficaz;</w:t>
      </w:r>
    </w:p>
    <w:p>
      <w:pPr>
        <w:numPr>
          <w:ilvl w:val="0"/>
          <w:numId w:val="1021"/>
        </w:numPr>
        <w:pStyle w:val="Compact"/>
      </w:pPr>
    </w:p>
    <w:p>
      <w:pPr>
        <w:numPr>
          <w:ilvl w:val="1"/>
          <w:numId w:val="1023"/>
        </w:numPr>
        <w:pStyle w:val="Compact"/>
      </w:pPr>
      <w:r>
        <w:t xml:space="preserve">Gestión deficiente del cambio;</w:t>
      </w:r>
    </w:p>
    <w:p>
      <w:pPr>
        <w:numPr>
          <w:ilvl w:val="0"/>
          <w:numId w:val="1021"/>
        </w:numPr>
        <w:pStyle w:val="Compact"/>
      </w:pPr>
      <w:r>
        <w:t xml:space="preserve">limitaciones tecnológicas;</w:t>
      </w:r>
    </w:p>
    <w:p>
      <w:pPr>
        <w:numPr>
          <w:ilvl w:val="0"/>
          <w:numId w:val="1021"/>
        </w:numPr>
        <w:pStyle w:val="Compact"/>
      </w:pPr>
      <w:r>
        <w:t xml:space="preserve">vigilancia incompleta;</w:t>
      </w:r>
    </w:p>
    <w:p>
      <w:pPr>
        <w:numPr>
          <w:ilvl w:val="0"/>
          <w:numId w:val="1021"/>
        </w:numPr>
        <w:pStyle w:val="Compact"/>
      </w:pPr>
      <w:r>
        <w:t xml:space="preserve">mala calidad de los datos;</w:t>
      </w:r>
    </w:p>
    <w:p>
      <w:pPr>
        <w:numPr>
          <w:ilvl w:val="0"/>
          <w:numId w:val="1021"/>
        </w:numPr>
        <w:pStyle w:val="Compact"/>
      </w:pPr>
      <w:r>
        <w:t xml:space="preserve">dependencia no administrada de terceros;</w:t>
      </w:r>
    </w:p>
    <w:p>
      <w:pPr>
        <w:numPr>
          <w:ilvl w:val="0"/>
          <w:numId w:val="1021"/>
        </w:numPr>
        <w:pStyle w:val="Compact"/>
      </w:pPr>
      <w:r>
        <w:t xml:space="preserve">incentivo o conflictos de gobernanza.</w:t>
      </w:r>
    </w:p>
    <w:p>
      <w:pPr>
        <w:pStyle w:val="FirstParagraph"/>
      </w:pPr>
      <w:r>
        <w:t xml:space="preserve">Use methods proportionate to the issue, such as five-whys analysis, causal mapping, barrier analysis, process walkthroughs, or comparative review of successful and failed cases.</w:t>
      </w:r>
    </w:p>
    <w:bookmarkEnd w:id="55"/>
    <w:bookmarkStart w:id="56" w:name="validar-la-causa"/>
    <w:p>
      <w:pPr>
        <w:pStyle w:val="Heading2"/>
      </w:pPr>
      <w:r>
        <w:t xml:space="preserve">Validar la causa</w:t>
      </w:r>
    </w:p>
    <w:p>
      <w:pPr>
        <w:pStyle w:val="FirstParagraph"/>
      </w:pPr>
      <w:r>
        <w:t xml:space="preserve">Una causa raíz propuesta debe explicar la condición observada y ser respaldada por pruebas. Prueba si eliminar esa causa reduciría razonablemente la recurrencia. Cuando varias causas interactúan, el documento contribuye a causas en lugar de forzar una sola explicación.</w:t>
      </w:r>
    </w:p>
    <w:bookmarkEnd w:id="56"/>
    <w:bookmarkStart w:id="57" w:name="priorización-del-riesgo"/>
    <w:p>
      <w:pPr>
        <w:pStyle w:val="Heading2"/>
      </w:pPr>
      <w:r>
        <w:t xml:space="preserve">Priorización del riesgo</w:t>
      </w:r>
    </w:p>
    <w:p>
      <w:pPr>
        <w:pStyle w:val="FirstParagraph"/>
      </w:pPr>
      <w:r>
        <w:t xml:space="preserve">Severity should consider:</w:t>
      </w:r>
    </w:p>
    <w:p>
      <w:pPr>
        <w:numPr>
          <w:ilvl w:val="0"/>
          <w:numId w:val="1024"/>
        </w:numPr>
        <w:pStyle w:val="Compact"/>
      </w:pPr>
      <w:r>
        <w:t xml:space="preserve">consecuencias para objetivos, clientes, personas, datos, operaciones, finanzas o obligaciones legales;</w:t>
      </w:r>
    </w:p>
    <w:p>
      <w:pPr>
        <w:numPr>
          <w:ilvl w:val="0"/>
          <w:numId w:val="1024"/>
        </w:numPr>
        <w:pStyle w:val="Compact"/>
      </w:pPr>
      <w:r>
        <w:t xml:space="preserve">probabilidad o frecuencia;</w:t>
      </w:r>
    </w:p>
    <w:p>
      <w:pPr>
        <w:numPr>
          <w:ilvl w:val="0"/>
          <w:numId w:val="1024"/>
        </w:numPr>
        <w:pStyle w:val="Compact"/>
      </w:pPr>
      <w:r>
        <w:t xml:space="preserve">duración de la exposición;</w:t>
      </w:r>
    </w:p>
    <w:p>
      <w:pPr>
        <w:numPr>
          <w:ilvl w:val="0"/>
          <w:numId w:val="1024"/>
        </w:numPr>
        <w:pStyle w:val="Compact"/>
      </w:pPr>
      <w:r>
        <w:t xml:space="preserve">población afectada y alcance;</w:t>
      </w:r>
    </w:p>
    <w:p>
      <w:pPr>
        <w:numPr>
          <w:ilvl w:val="0"/>
          <w:numId w:val="1024"/>
        </w:numPr>
        <w:pStyle w:val="Compact"/>
      </w:pPr>
      <w:r>
        <w:t xml:space="preserve">control dependencia y concentración;</w:t>
      </w:r>
    </w:p>
    <w:p>
      <w:pPr>
        <w:numPr>
          <w:ilvl w:val="0"/>
          <w:numId w:val="1024"/>
        </w:numPr>
        <w:pStyle w:val="Compact"/>
      </w:pPr>
      <w:r>
        <w:t xml:space="preserve">detectabilidad;</w:t>
      </w:r>
    </w:p>
    <w:p>
      <w:pPr>
        <w:numPr>
          <w:ilvl w:val="0"/>
          <w:numId w:val="1024"/>
        </w:numPr>
        <w:pStyle w:val="Compact"/>
      </w:pPr>
      <w:r>
        <w:t xml:space="preserve">explotabilidad o potencial de uso indebido;</w:t>
      </w:r>
    </w:p>
    <w:p>
      <w:pPr>
        <w:numPr>
          <w:ilvl w:val="0"/>
          <w:numId w:val="1024"/>
        </w:numPr>
        <w:pStyle w:val="Compact"/>
      </w:pPr>
      <w:r>
        <w:t xml:space="preserve">o importancia normativa, contractual o de presentación de informes;</w:t>
      </w:r>
    </w:p>
    <w:p>
      <w:pPr>
        <w:numPr>
          <w:ilvl w:val="0"/>
          <w:numId w:val="1024"/>
        </w:numPr>
        <w:pStyle w:val="Compact"/>
      </w:pPr>
      <w:r>
        <w:t xml:space="preserve">presencia y fiabilidad de controles compensatorios;</w:t>
      </w:r>
    </w:p>
    <w:p>
      <w:pPr>
        <w:numPr>
          <w:ilvl w:val="0"/>
          <w:numId w:val="1024"/>
        </w:numPr>
        <w:pStyle w:val="Compact"/>
      </w:pPr>
      <w:r>
        <w:t xml:space="preserve">compromisos de recurrencia y gestión previa.</w:t>
      </w:r>
    </w:p>
    <w:p>
      <w:pPr>
        <w:pStyle w:val="FirstParagraph"/>
      </w:pPr>
      <w:r>
        <w:t xml:space="preserve">Una simple escala de prioridades se puede utilizar cuando las definiciones se aprueban y se aplican sistemáticamente:</w:t>
      </w:r>
    </w:p>
    <w:p>
      <w:pPr>
        <w:numPr>
          <w:ilvl w:val="0"/>
          <w:numId w:val="1025"/>
        </w:numPr>
        <w:pStyle w:val="Compact"/>
      </w:pPr>
      <w:r>
        <w:t xml:space="preserve">** Crítica**: amenaza inmediata o a corto plazo que requiere escalada ejecutiva y contención urgente.</w:t>
      </w:r>
    </w:p>
    <w:p>
      <w:pPr>
        <w:numPr>
          <w:ilvl w:val="0"/>
          <w:numId w:val="1025"/>
        </w:numPr>
        <w:pStyle w:val="Compact"/>
      </w:pPr>
      <w:r>
        <w:t xml:space="preserve">** Alto**: exposición material que requiere rehabilitación formal y supervisión frecuente.</w:t>
      </w:r>
    </w:p>
    <w:p>
      <w:pPr>
        <w:numPr>
          <w:ilvl w:val="0"/>
          <w:numId w:val="1025"/>
        </w:numPr>
        <w:pStyle w:val="Compact"/>
      </w:pPr>
      <w:r>
        <w:rPr>
          <w:bCs/>
          <w:b/>
        </w:rPr>
        <w:t xml:space="preserve">Moderado</w:t>
      </w:r>
      <w:r>
        <w:t xml:space="preserve"> </w:t>
      </w:r>
      <w:r>
        <w:t xml:space="preserve">— debilidad significativa que requiere corrección planificada y finalización rastreada.</w:t>
      </w:r>
    </w:p>
    <w:p>
      <w:pPr>
        <w:numPr>
          <w:ilvl w:val="0"/>
          <w:numId w:val="1025"/>
        </w:numPr>
        <w:pStyle w:val="Compact"/>
      </w:pPr>
      <w:r>
        <w:rPr>
          <w:bCs/>
          <w:b/>
        </w:rPr>
        <w:t xml:space="preserve">Low</w:t>
      </w:r>
      <w:r>
        <w:t xml:space="preserve"> </w:t>
      </w:r>
      <w:r>
        <w:t xml:space="preserve">— exposición limitada adecuada para la mejora de rutina o la aceptación vigilada.</w:t>
      </w:r>
    </w:p>
    <w:bookmarkEnd w:id="57"/>
    <w:bookmarkStart w:id="58" w:name="desafío-y-calibración"/>
    <w:p>
      <w:pPr>
        <w:pStyle w:val="Heading2"/>
      </w:pPr>
      <w:r>
        <w:t xml:space="preserve">Desafío y calibración</w:t>
      </w:r>
    </w:p>
    <w:p>
      <w:pPr>
        <w:pStyle w:val="FirstParagraph"/>
      </w:pPr>
      <w:r>
        <w:t xml:space="preserve">Proveer un proceso controlado para la gestión para desafiar la exactitud fáctica, alcance, criterio, severidad o propiedad. Los desafíos deben incluir pruebas. Debe documentarse la clasificación final, incluidos los desacuerdos no resueltos y los responsables de la adopción de decisiones.</w:t>
      </w:r>
    </w:p>
    <w:bookmarkEnd w:id="58"/>
    <w:bookmarkStart w:id="59" w:name="relación-con-la-aceptación-del-riesgo"/>
    <w:p>
      <w:pPr>
        <w:pStyle w:val="Heading2"/>
      </w:pPr>
      <w:r>
        <w:t xml:space="preserve">Relación con la aceptación del riesgo</w:t>
      </w:r>
    </w:p>
    <w:p>
      <w:pPr>
        <w:pStyle w:val="FirstParagraph"/>
      </w:pPr>
      <w:r>
        <w:t xml:space="preserve">La aceptación es una decisión de gestión, no un atajo de cierre de auditoría. El registro de aceptación debe determinar la exposición, duración, controles compensatorios, vigilancia, autorización y fecha de examen. La aceptación no cambia una declaración de control inexacta en un control efectivo.</w:t>
      </w:r>
    </w:p>
    <w:bookmarkEnd w:id="59"/>
    <w:bookmarkEnd w:id="60"/>
    <w:bookmarkStart w:id="72" w:name="remediation-planning-and-governance"/>
    <w:p>
      <w:pPr>
        <w:pStyle w:val="Heading1"/>
      </w:pPr>
      <w:r>
        <w:t xml:space="preserve">Remediation Planning and Governance</w:t>
      </w:r>
    </w:p>
    <w:bookmarkStart w:id="61" w:name="propósito-1"/>
    <w:p>
      <w:pPr>
        <w:pStyle w:val="Heading2"/>
      </w:pPr>
      <w:r>
        <w:t xml:space="preserve">Propósito</w:t>
      </w:r>
    </w:p>
    <w:p>
      <w:pPr>
        <w:pStyle w:val="FirstParagraph"/>
      </w:pPr>
      <w:r>
        <w:t xml:space="preserve">Un plan de rehabilitación convierte un hallazgo aceptado en un trabajo responsable y testable. Debe reducir el riesgo identificado, abordar la causa validada y producir pruebas adecuadas para el examen independiente del cierre.</w:t>
      </w:r>
    </w:p>
    <w:bookmarkEnd w:id="61"/>
    <w:bookmarkStart w:id="62" w:name="Xc1b457674bd9d3fe7e60a297f411b98c8f9b2a2"/>
    <w:p>
      <w:pPr>
        <w:pStyle w:val="Heading2"/>
      </w:pPr>
      <w:r>
        <w:t xml:space="preserve">Contenido mínimo del plan de rehabilitación</w:t>
      </w:r>
    </w:p>
    <w:p>
      <w:pPr>
        <w:pStyle w:val="FirstParagraph"/>
      </w:pPr>
      <w:r>
        <w:t xml:space="preserve">Cada plan debe registrar:</w:t>
      </w:r>
    </w:p>
    <w:p>
      <w:pPr>
        <w:numPr>
          <w:ilvl w:val="0"/>
          <w:numId w:val="1026"/>
        </w:numPr>
        <w:pStyle w:val="Compact"/>
      </w:pPr>
      <w:r>
        <w:t xml:space="preserve">encontrar identificador y título;</w:t>
      </w:r>
    </w:p>
    <w:p>
      <w:pPr>
        <w:numPr>
          <w:ilvl w:val="0"/>
          <w:numId w:val="1026"/>
        </w:numPr>
        <w:pStyle w:val="Compact"/>
      </w:pPr>
      <w:r>
        <w:t xml:space="preserve">criterio aplicable y declaración de riesgo;</w:t>
      </w:r>
    </w:p>
    <w:p>
      <w:pPr>
        <w:numPr>
          <w:ilvl w:val="0"/>
          <w:numId w:val="1026"/>
        </w:numPr>
        <w:pStyle w:val="Compact"/>
      </w:pPr>
      <w:r>
        <w:t xml:space="preserve">raíces validadas y causas contribuyentes;</w:t>
      </w:r>
    </w:p>
    <w:p>
      <w:pPr>
        <w:numPr>
          <w:ilvl w:val="0"/>
          <w:numId w:val="1026"/>
        </w:numPr>
        <w:pStyle w:val="Compact"/>
      </w:pPr>
      <w:r>
        <w:t xml:space="preserve">controles provisionales de contención o compensación;</w:t>
      </w:r>
    </w:p>
    <w:p>
      <w:pPr>
        <w:numPr>
          <w:ilvl w:val="0"/>
          <w:numId w:val="1026"/>
        </w:numPr>
        <w:pStyle w:val="Compact"/>
      </w:pPr>
    </w:p>
    <w:p>
      <w:pPr>
        <w:numPr>
          <w:ilvl w:val="1"/>
          <w:numId w:val="1027"/>
        </w:numPr>
        <w:pStyle w:val="Compact"/>
      </w:pPr>
      <w:r>
        <w:t xml:space="preserve">Acciones correctivas previstas;</w:t>
      </w:r>
    </w:p>
    <w:p>
      <w:pPr>
        <w:numPr>
          <w:ilvl w:val="0"/>
          <w:numId w:val="1026"/>
        </w:numPr>
        <w:pStyle w:val="Compact"/>
      </w:pPr>
      <w:r>
        <w:t xml:space="preserve">responsable ejecutivo y propietario de la acción;</w:t>
      </w:r>
    </w:p>
    <w:p>
      <w:pPr>
        <w:numPr>
          <w:ilvl w:val="0"/>
          <w:numId w:val="1026"/>
        </w:numPr>
        <w:pStyle w:val="Compact"/>
      </w:pPr>
      <w:r>
        <w:t xml:space="preserve">dependencias y recursos necesarios;</w:t>
      </w:r>
    </w:p>
    <w:p>
      <w:pPr>
        <w:numPr>
          <w:ilvl w:val="0"/>
          <w:numId w:val="1026"/>
        </w:numPr>
        <w:pStyle w:val="Compact"/>
      </w:pPr>
      <w:r>
        <w:t xml:space="preserve">hitos y fechas de destino;</w:t>
      </w:r>
    </w:p>
    <w:p>
      <w:pPr>
        <w:numPr>
          <w:ilvl w:val="0"/>
          <w:numId w:val="1026"/>
        </w:numPr>
        <w:pStyle w:val="Compact"/>
      </w:pPr>
      <w:r>
        <w:t xml:space="preserve">medidas de éxito;</w:t>
      </w:r>
    </w:p>
    <w:p>
      <w:pPr>
        <w:numPr>
          <w:ilvl w:val="0"/>
          <w:numId w:val="1026"/>
        </w:numPr>
        <w:pStyle w:val="Compact"/>
      </w:pPr>
      <w:r>
        <w:t xml:space="preserve">pruebas de cierre previstas;</w:t>
      </w:r>
    </w:p>
    <w:p>
      <w:pPr>
        <w:numPr>
          <w:ilvl w:val="0"/>
          <w:numId w:val="1026"/>
        </w:numPr>
        <w:pStyle w:val="Compact"/>
      </w:pPr>
      <w:r>
        <w:t xml:space="preserve">riesgo residual después de la terminación;</w:t>
      </w:r>
    </w:p>
    <w:p>
      <w:pPr>
        <w:numPr>
          <w:ilvl w:val="0"/>
          <w:numId w:val="1026"/>
        </w:numPr>
        <w:pStyle w:val="Compact"/>
      </w:pPr>
      <w:r>
        <w:t xml:space="preserve">camino de escalada;</w:t>
      </w:r>
    </w:p>
    <w:p>
      <w:pPr>
        <w:numPr>
          <w:ilvl w:val="0"/>
          <w:numId w:val="1026"/>
        </w:numPr>
        <w:pStyle w:val="Compact"/>
      </w:pPr>
      <w:r>
        <w:t xml:space="preserve">aprobación y cambio de historia.</w:t>
      </w:r>
    </w:p>
    <w:bookmarkEnd w:id="62"/>
    <w:bookmarkStart w:id="63" w:name="X9a36f27b84914db47b3e402edd4c321d27b6d05"/>
    <w:p>
      <w:pPr>
        <w:pStyle w:val="Heading2"/>
      </w:pPr>
      <w:r>
        <w:t xml:space="preserve">Corrección, contención y acción correctiva</w:t>
      </w:r>
    </w:p>
    <w:p>
      <w:pPr>
        <w:pStyle w:val="FirstParagraph"/>
      </w:pPr>
      <w:r>
        <w:t xml:space="preserve">Mantener estos conceptos distintos:</w:t>
      </w:r>
    </w:p>
    <w:p>
      <w:pPr>
        <w:numPr>
          <w:ilvl w:val="0"/>
          <w:numId w:val="1028"/>
        </w:numPr>
        <w:pStyle w:val="Compact"/>
      </w:pPr>
      <w:r>
        <w:rPr>
          <w:bCs/>
          <w:b/>
        </w:rPr>
        <w:t xml:space="preserve">Corrección</w:t>
      </w:r>
      <w:r>
        <w:t xml:space="preserve"> </w:t>
      </w:r>
      <w:r>
        <w:t xml:space="preserve">fija una instancia detectada, como desactivar una cuenta atrasada.</w:t>
      </w:r>
    </w:p>
    <w:p>
      <w:pPr>
        <w:numPr>
          <w:ilvl w:val="0"/>
          <w:numId w:val="1028"/>
        </w:numPr>
        <w:pStyle w:val="Compact"/>
      </w:pPr>
      <w:r>
        <w:rPr>
          <w:bCs/>
          <w:b/>
        </w:rPr>
        <w:t xml:space="preserve">El contenido</w:t>
      </w:r>
      <w:r>
        <w:t xml:space="preserve"> </w:t>
      </w:r>
      <w:r>
        <w:t xml:space="preserve">limita la exposición mientras se desarrolla la solución permanente.</w:t>
      </w:r>
    </w:p>
    <w:p>
      <w:pPr>
        <w:numPr>
          <w:ilvl w:val="0"/>
          <w:numId w:val="1028"/>
        </w:numPr>
        <w:pStyle w:val="Compact"/>
      </w:pPr>
      <w:r>
        <w:rPr>
          <w:bCs/>
          <w:b/>
        </w:rPr>
        <w:t xml:space="preserve">La acción correccional</w:t>
      </w:r>
      <w:r>
        <w:t xml:space="preserve"> </w:t>
      </w:r>
      <w:r>
        <w:t xml:space="preserve">cambia el proceso, el control, la tecnología, la rendición de cuentas o la vigilancia por lo que la recurrencia es menos probable.</w:t>
      </w:r>
    </w:p>
    <w:p>
      <w:pPr>
        <w:pStyle w:val="FirstParagraph"/>
      </w:pPr>
      <w:r>
        <w:t xml:space="preserve">Un plan que solo corrige los casos muestreados puede dejar intacta la debilidad subyacente.</w:t>
      </w:r>
    </w:p>
    <w:bookmarkEnd w:id="63"/>
    <w:bookmarkStart w:id="64" w:name="acciones-de-diseño-contra-la-causa"/>
    <w:p>
      <w:pPr>
        <w:pStyle w:val="Heading2"/>
      </w:pPr>
      <w:r>
        <w:t xml:space="preserve">Acciones de diseño contra la causa</w:t>
      </w:r>
    </w:p>
    <w:p>
      <w:pPr>
        <w:pStyle w:val="FirstParagraph"/>
      </w:pPr>
      <w:r>
        <w:t xml:space="preserve">Mape cada acción a la causa que se dirige. Por ejemplo:</w:t>
      </w:r>
    </w:p>
    <w:p>
      <w:pPr>
        <w:numPr>
          <w:ilvl w:val="0"/>
          <w:numId w:val="1029"/>
        </w:numPr>
        <w:pStyle w:val="Compact"/>
      </w:pPr>
      <w:r>
        <w:t xml:space="preserve">clarificar los derechos de propiedad y decisión;</w:t>
      </w:r>
    </w:p>
    <w:p>
      <w:pPr>
        <w:numPr>
          <w:ilvl w:val="0"/>
          <w:numId w:val="1029"/>
        </w:numPr>
        <w:pStyle w:val="Compact"/>
      </w:pPr>
      <w:r>
        <w:t xml:space="preserve">revisar los pasos del proceso y las puertas de aprobación;</w:t>
      </w:r>
    </w:p>
    <w:p>
      <w:pPr>
        <w:numPr>
          <w:ilvl w:val="0"/>
          <w:numId w:val="1029"/>
        </w:numPr>
        <w:pStyle w:val="Compact"/>
      </w:pPr>
      <w:r>
        <w:t xml:space="preserve">automatizar un control manual con supervisión adecuada;</w:t>
      </w:r>
    </w:p>
    <w:p>
      <w:pPr>
        <w:numPr>
          <w:ilvl w:val="0"/>
          <w:numId w:val="1029"/>
        </w:numPr>
        <w:pStyle w:val="Compact"/>
      </w:pPr>
      <w:r>
        <w:t xml:space="preserve">correctas fuentes de datos autorizadas;</w:t>
      </w:r>
    </w:p>
    <w:p>
      <w:pPr>
        <w:numPr>
          <w:ilvl w:val="0"/>
          <w:numId w:val="1029"/>
        </w:numPr>
        <w:pStyle w:val="Compact"/>
      </w:pPr>
      <w:r>
        <w:t xml:space="preserve">fortalecer la vigilancia y la presentación de informes sobre excepciones;</w:t>
      </w:r>
    </w:p>
    <w:p>
      <w:pPr>
        <w:numPr>
          <w:ilvl w:val="0"/>
          <w:numId w:val="1029"/>
        </w:numPr>
        <w:pStyle w:val="Compact"/>
      </w:pPr>
      <w:r>
        <w:t xml:space="preserve">revisar los contratos o requisitos de proveedores;</w:t>
      </w:r>
    </w:p>
    <w:p>
      <w:pPr>
        <w:numPr>
          <w:ilvl w:val="0"/>
          <w:numId w:val="1029"/>
        </w:numPr>
        <w:pStyle w:val="Compact"/>
      </w:pPr>
    </w:p>
    <w:p>
      <w:pPr>
        <w:numPr>
          <w:ilvl w:val="1"/>
          <w:numId w:val="1030"/>
        </w:numPr>
        <w:pStyle w:val="Compact"/>
      </w:pPr>
      <w:r>
        <w:t xml:space="preserve">Añada capacidad, capacitación o separación de funciones;</w:t>
      </w:r>
    </w:p>
    <w:p>
      <w:pPr>
        <w:numPr>
          <w:ilvl w:val="0"/>
          <w:numId w:val="1029"/>
        </w:numPr>
        <w:pStyle w:val="Compact"/>
      </w:pPr>
      <w:r>
        <w:t xml:space="preserve">rediseñar frecuencia o cobertura de control.</w:t>
      </w:r>
    </w:p>
    <w:p>
      <w:pPr>
        <w:pStyle w:val="FirstParagraph"/>
      </w:pPr>
      <w:r>
        <w:t xml:space="preserve">Evite las declaraciones de acción tales como</w:t>
      </w:r>
      <w:r>
        <w:t xml:space="preserve"> </w:t>
      </w:r>
      <w:r>
        <w:t xml:space="preserve">“</w:t>
      </w:r>
      <w:r>
        <w:t xml:space="preserve">mejorar el proceso</w:t>
      </w:r>
      <w:r>
        <w:t xml:space="preserve">”</w:t>
      </w:r>
      <w:r>
        <w:t xml:space="preserve">,</w:t>
      </w:r>
      <w:r>
        <w:t xml:space="preserve"> </w:t>
      </w:r>
      <w:r>
        <w:t xml:space="preserve">“</w:t>
      </w:r>
      <w:r>
        <w:t xml:space="preserve">monitor de cerca</w:t>
      </w:r>
      <w:r>
        <w:t xml:space="preserve">”</w:t>
      </w:r>
      <w:r>
        <w:t xml:space="preserve">, o</w:t>
      </w:r>
      <w:r>
        <w:t xml:space="preserve"> </w:t>
      </w:r>
      <w:r>
        <w:t xml:space="preserve">“</w:t>
      </w:r>
      <w:r>
        <w:t xml:space="preserve">entren al personal</w:t>
      </w:r>
      <w:r>
        <w:t xml:space="preserve">”</w:t>
      </w:r>
      <w:r>
        <w:t xml:space="preserve"> </w:t>
      </w:r>
      <w:r>
        <w:t xml:space="preserve">sin medibles criterios de terminación.</w:t>
      </w:r>
    </w:p>
    <w:bookmarkEnd w:id="64"/>
    <w:bookmarkStart w:id="65" w:name="diseño-de-piedra-angular"/>
    <w:p>
      <w:pPr>
        <w:pStyle w:val="Heading2"/>
      </w:pPr>
      <w:r>
        <w:t xml:space="preserve">Diseño de piedra angular</w:t>
      </w:r>
    </w:p>
    <w:p>
      <w:pPr>
        <w:pStyle w:val="FirstParagraph"/>
      </w:pPr>
      <w:r>
        <w:t xml:space="preserve">Use hitos que representen resultados verificables independientemente. Una secuencia práctica puede incluir:</w:t>
      </w:r>
    </w:p>
    <w:p>
      <w:pPr>
        <w:numPr>
          <w:ilvl w:val="0"/>
          <w:numId w:val="1031"/>
        </w:numPr>
        <w:pStyle w:val="Compact"/>
      </w:pPr>
      <w:r>
        <w:t xml:space="preserve">contención aplicada;</w:t>
      </w:r>
    </w:p>
    <w:p>
      <w:pPr>
        <w:numPr>
          <w:ilvl w:val="0"/>
          <w:numId w:val="1031"/>
        </w:numPr>
        <w:pStyle w:val="Compact"/>
      </w:pPr>
      <w:r>
        <w:t xml:space="preserve">diseño de solución aprobado;</w:t>
      </w:r>
    </w:p>
    <w:p>
      <w:pPr>
        <w:numPr>
          <w:ilvl w:val="0"/>
          <w:numId w:val="1031"/>
        </w:numPr>
        <w:pStyle w:val="Compact"/>
      </w:pPr>
      <w:r>
        <w:t xml:space="preserve">configuración o procedimiento completado;</w:t>
      </w:r>
    </w:p>
    <w:p>
      <w:pPr>
        <w:numPr>
          <w:ilvl w:val="0"/>
          <w:numId w:val="1031"/>
        </w:numPr>
        <w:pStyle w:val="Compact"/>
      </w:pPr>
      <w:r>
        <w:t xml:space="preserve">la población corregida;</w:t>
      </w:r>
    </w:p>
    <w:p>
      <w:pPr>
        <w:numPr>
          <w:ilvl w:val="0"/>
          <w:numId w:val="1031"/>
        </w:numPr>
        <w:pStyle w:val="Compact"/>
      </w:pPr>
      <w:r>
        <w:t xml:space="preserve">vigilancia activada;</w:t>
      </w:r>
    </w:p>
    <w:p>
      <w:pPr>
        <w:numPr>
          <w:ilvl w:val="0"/>
          <w:numId w:val="1031"/>
        </w:numPr>
        <w:pStyle w:val="Compact"/>
      </w:pPr>
      <w:r>
        <w:t xml:space="preserve">período de funcionamiento terminado;</w:t>
      </w:r>
    </w:p>
    <w:p>
      <w:pPr>
        <w:numPr>
          <w:ilvl w:val="0"/>
          <w:numId w:val="1031"/>
        </w:numPr>
        <w:pStyle w:val="Compact"/>
      </w:pPr>
      <w:r>
        <w:t xml:space="preserve">pruebas de cierre presentadas;</w:t>
      </w:r>
    </w:p>
    <w:p>
      <w:pPr>
        <w:numPr>
          <w:ilvl w:val="0"/>
          <w:numId w:val="1031"/>
        </w:numPr>
        <w:pStyle w:val="Compact"/>
      </w:pPr>
      <w:r>
        <w:t xml:space="preserve">validación independiente terminada.</w:t>
      </w:r>
    </w:p>
    <w:bookmarkEnd w:id="65"/>
    <w:bookmarkStart w:id="66" w:name="propiedad-y-rendición-de-cuentas"/>
    <w:p>
      <w:pPr>
        <w:pStyle w:val="Heading2"/>
      </w:pPr>
      <w:r>
        <w:t xml:space="preserve">Propiedad y rendición de cuentas</w:t>
      </w:r>
    </w:p>
    <w:p>
      <w:pPr>
        <w:pStyle w:val="FirstParagraph"/>
      </w:pPr>
      <w:r>
        <w:t xml:space="preserve">The executive owner accepts accountability for risk reduction and resources. El dueño de la acción administra la ejecución. GRC, audit, or compliance may coordinate and challenge but should not silently become the business owner.</w:t>
      </w:r>
    </w:p>
    <w:bookmarkEnd w:id="66"/>
    <w:bookmarkStart w:id="67" w:name="disciplina-prevista"/>
    <w:p>
      <w:pPr>
        <w:pStyle w:val="Heading2"/>
      </w:pPr>
      <w:r>
        <w:t xml:space="preserve">Disciplina prevista</w:t>
      </w:r>
    </w:p>
    <w:p>
      <w:pPr>
        <w:pStyle w:val="FirstParagraph"/>
      </w:pPr>
      <w:r>
        <w:t xml:space="preserve">Establecer fechas basadas en la gravedad, la exposición, las dependencias y la complejidad de la aplicación. Las extensiones deben requerir:</w:t>
      </w:r>
    </w:p>
    <w:p>
      <w:pPr>
        <w:numPr>
          <w:ilvl w:val="0"/>
          <w:numId w:val="1032"/>
        </w:numPr>
        <w:pStyle w:val="Compact"/>
      </w:pPr>
      <w:r>
        <w:t xml:space="preserve">razón documentada;</w:t>
      </w:r>
    </w:p>
    <w:p>
      <w:pPr>
        <w:numPr>
          <w:ilvl w:val="0"/>
          <w:numId w:val="1032"/>
        </w:numPr>
        <w:pStyle w:val="Compact"/>
      </w:pPr>
      <w:r>
        <w:t xml:space="preserve">trabajos terminados y trabajos restantes;</w:t>
      </w:r>
    </w:p>
    <w:p>
      <w:pPr>
        <w:numPr>
          <w:ilvl w:val="0"/>
          <w:numId w:val="1032"/>
        </w:numPr>
        <w:pStyle w:val="Compact"/>
      </w:pPr>
    </w:p>
    <w:p>
      <w:pPr>
        <w:numPr>
          <w:ilvl w:val="1"/>
          <w:numId w:val="1033"/>
        </w:numPr>
        <w:pStyle w:val="Compact"/>
      </w:pPr>
      <w:r>
        <w:t xml:space="preserve">Evaluación actualizada de la exposición;</w:t>
      </w:r>
    </w:p>
    <w:p>
      <w:pPr>
        <w:numPr>
          <w:ilvl w:val="0"/>
          <w:numId w:val="1032"/>
        </w:numPr>
        <w:pStyle w:val="Compact"/>
      </w:pPr>
      <w:r>
        <w:t xml:space="preserve">Controles provisionales;</w:t>
      </w:r>
    </w:p>
    <w:p>
      <w:pPr>
        <w:numPr>
          <w:ilvl w:val="0"/>
          <w:numId w:val="1032"/>
        </w:numPr>
        <w:pStyle w:val="Compact"/>
      </w:pPr>
      <w:r>
        <w:t xml:space="preserve">hitos revisados;</w:t>
      </w:r>
    </w:p>
    <w:p>
      <w:pPr>
        <w:numPr>
          <w:ilvl w:val="0"/>
          <w:numId w:val="1032"/>
        </w:numPr>
        <w:pStyle w:val="Compact"/>
      </w:pPr>
      <w:r>
        <w:t xml:space="preserve">aprobación responsable;</w:t>
      </w:r>
    </w:p>
    <w:p>
      <w:pPr>
        <w:numPr>
          <w:ilvl w:val="0"/>
          <w:numId w:val="1032"/>
        </w:numPr>
        <w:pStyle w:val="Compact"/>
      </w:pPr>
      <w:r>
        <w:t xml:space="preserve">próxima fecha de revisión.</w:t>
      </w:r>
    </w:p>
    <w:p>
      <w:pPr>
        <w:pStyle w:val="FirstParagraph"/>
      </w:pPr>
      <w:r>
        <w:t xml:space="preserve">Las prórrogas reiteradas indican una cuestión de gobernanza y deben desencadenar una escalada.</w:t>
      </w:r>
    </w:p>
    <w:bookmarkEnd w:id="67"/>
    <w:bookmarkStart w:id="68" w:name="control-de-cambio"/>
    <w:p>
      <w:pPr>
        <w:pStyle w:val="Heading2"/>
      </w:pPr>
      <w:r>
        <w:t xml:space="preserve">Control de cambio</w:t>
      </w:r>
    </w:p>
    <w:p>
      <w:pPr>
        <w:pStyle w:val="FirstParagraph"/>
      </w:pPr>
      <w:r>
        <w:t xml:space="preserve">Los planes pueden cambiar cuando cambian los hechos, el alcance, la tecnología o las dependencias. Preserve el compromiso original, historial de revisión, racionalidad, aprobación e impacto en el riesgo. Nunca sobreescribir los compromisos perdidos sin una pista de auditoría.</w:t>
      </w:r>
    </w:p>
    <w:bookmarkEnd w:id="68"/>
    <w:bookmarkStart w:id="69" w:name="gestión-de-los-recursos-y-la-dependencia"/>
    <w:p>
      <w:pPr>
        <w:pStyle w:val="Heading2"/>
      </w:pPr>
      <w:r>
        <w:t xml:space="preserve">Gestión de los recursos y la dependencia</w:t>
      </w:r>
    </w:p>
    <w:p>
      <w:pPr>
        <w:pStyle w:val="FirstParagraph"/>
      </w:pPr>
      <w:r>
        <w:t xml:space="preserve">Identificar financiación, dotación de personal, adquisiciones, arquitectura, proveedores, legales, privacidad, datos y dependencias de cambio. Seguimiento de acciones bloqueadas separadamente del trabajo no iniciado. Escalar dependencias no resueltas antes de que la fecha prevista sea inalcanzable.</w:t>
      </w:r>
    </w:p>
    <w:bookmarkEnd w:id="69"/>
    <w:bookmarkStart w:id="70" w:name="metrices"/>
    <w:p>
      <w:pPr>
        <w:pStyle w:val="Heading2"/>
      </w:pPr>
      <w:r>
        <w:t xml:space="preserve">Metrices</w:t>
      </w:r>
    </w:p>
    <w:p>
      <w:pPr>
        <w:pStyle w:val="FirstParagraph"/>
      </w:pPr>
      <w:r>
        <w:t xml:space="preserve">Las métricas de remediación útiles incluyen:</w:t>
      </w:r>
    </w:p>
    <w:p>
      <w:pPr>
        <w:numPr>
          <w:ilvl w:val="0"/>
          <w:numId w:val="1034"/>
        </w:numPr>
        <w:pStyle w:val="Compact"/>
      </w:pPr>
      <w:r>
        <w:t xml:space="preserve">hallazgos abiertos por gravedad y edad;</w:t>
      </w:r>
    </w:p>
    <w:p>
      <w:pPr>
        <w:numPr>
          <w:ilvl w:val="0"/>
          <w:numId w:val="1034"/>
        </w:numPr>
        <w:pStyle w:val="Compact"/>
      </w:pPr>
      <w:r>
        <w:t xml:space="preserve">medidas y prórrogas atrasadas;</w:t>
      </w:r>
    </w:p>
    <w:p>
      <w:pPr>
        <w:numPr>
          <w:ilvl w:val="0"/>
          <w:numId w:val="1034"/>
        </w:numPr>
        <w:pStyle w:val="Compact"/>
      </w:pPr>
      <w:r>
        <w:t xml:space="preserve">tiempo de encontrar aceptación para planificar la aprobación;</w:t>
      </w:r>
    </w:p>
    <w:p>
      <w:pPr>
        <w:numPr>
          <w:ilvl w:val="0"/>
          <w:numId w:val="1034"/>
        </w:numPr>
        <w:pStyle w:val="Compact"/>
      </w:pPr>
      <w:r>
        <w:t xml:space="preserve">Tasa de finalización de los hitos;</w:t>
      </w:r>
    </w:p>
    <w:p>
      <w:pPr>
        <w:numPr>
          <w:ilvl w:val="0"/>
          <w:numId w:val="1034"/>
        </w:numPr>
        <w:pStyle w:val="Compact"/>
      </w:pPr>
    </w:p>
    <w:p>
      <w:pPr>
        <w:numPr>
          <w:ilvl w:val="1"/>
          <w:numId w:val="1035"/>
        </w:numPr>
        <w:pStyle w:val="Compact"/>
      </w:pPr>
      <w:r>
        <w:t xml:space="preserve">Repetir las conclusiones;</w:t>
      </w:r>
    </w:p>
    <w:p>
      <w:pPr>
        <w:numPr>
          <w:ilvl w:val="0"/>
          <w:numId w:val="1034"/>
        </w:numPr>
        <w:pStyle w:val="Compact"/>
      </w:pPr>
      <w:r>
        <w:t xml:space="preserve">tasa de rechazo al cierre;</w:t>
      </w:r>
    </w:p>
    <w:p>
      <w:pPr>
        <w:numPr>
          <w:ilvl w:val="0"/>
          <w:numId w:val="1034"/>
        </w:numPr>
        <w:pStyle w:val="Compact"/>
      </w:pPr>
      <w:r>
        <w:t xml:space="preserve">Las conclusiones se reabrieron después del cierre;</w:t>
      </w:r>
    </w:p>
    <w:p>
      <w:pPr>
        <w:numPr>
          <w:ilvl w:val="0"/>
          <w:numId w:val="1034"/>
        </w:numPr>
        <w:pStyle w:val="Compact"/>
      </w:pPr>
      <w:r>
        <w:t xml:space="preserve">concentración por propietario, proceso, sistema o causa;</w:t>
      </w:r>
    </w:p>
    <w:p>
      <w:pPr>
        <w:numPr>
          <w:ilvl w:val="0"/>
          <w:numId w:val="1034"/>
        </w:numPr>
        <w:pStyle w:val="Compact"/>
      </w:pPr>
      <w:r>
        <w:t xml:space="preserve">tendencia al riesgo residual.</w:t>
      </w:r>
    </w:p>
    <w:p>
      <w:pPr>
        <w:pStyle w:val="FirstParagraph"/>
      </w:pPr>
      <w:r>
        <w:t xml:space="preserve">Las métricas deben apoyar las decisiones, no alentar el cierre superficial.</w:t>
      </w:r>
    </w:p>
    <w:bookmarkEnd w:id="70"/>
    <w:bookmarkStart w:id="71" w:name="X613beb7e02f1cfbed387f458f03a4436daf6b82"/>
    <w:p>
      <w:pPr>
        <w:pStyle w:val="Heading2"/>
      </w:pPr>
      <w:r>
        <w:t xml:space="preserve">Aceptación del riesgo y tratamiento alternativo</w:t>
      </w:r>
    </w:p>
    <w:p>
      <w:pPr>
        <w:pStyle w:val="FirstParagraph"/>
      </w:pPr>
      <w:r>
        <w:t xml:space="preserve">Cuando la remediación es poco práctica o desproporcionada, la administración puede elegir la aceptación, transferencia, evitación o un control alternativo. La decisión debe seguir siendo explícita, con plazos determinados cuando proceda, y aprobada a nivel de autoridad requerida por la gobernanza del riesgo de la organización.</w:t>
      </w:r>
    </w:p>
    <w:bookmarkEnd w:id="71"/>
    <w:bookmarkEnd w:id="72"/>
    <w:bookmarkStart w:id="84" w:name="validación-de-cierre-y-sostenibilidad"/>
    <w:p>
      <w:pPr>
        <w:pStyle w:val="Heading1"/>
      </w:pPr>
      <w:r>
        <w:t xml:space="preserve">Validación de cierre y sostenibilidad</w:t>
      </w:r>
    </w:p>
    <w:bookmarkStart w:id="73" w:name="propósito-2"/>
    <w:p>
      <w:pPr>
        <w:pStyle w:val="Heading2"/>
      </w:pPr>
      <w:r>
        <w:t xml:space="preserve">Propósito</w:t>
      </w:r>
    </w:p>
    <w:p>
      <w:pPr>
        <w:pStyle w:val="FirstParagraph"/>
      </w:pPr>
      <w:r>
        <w:t xml:space="preserve">La validación del cierre determina si se completó la acción correctiva, aborda la constatación y su causa, y opera lo suficiente para reducir el riesgo identificado. La terminación de las tareas no es la misma que la eficacia demostrada.</w:t>
      </w:r>
    </w:p>
    <w:bookmarkEnd w:id="73"/>
    <w:bookmarkStart w:id="74" w:name="criterios-de-cierre"/>
    <w:p>
      <w:pPr>
        <w:pStyle w:val="Heading2"/>
      </w:pPr>
      <w:r>
        <w:t xml:space="preserve">Criterios de cierre</w:t>
      </w:r>
    </w:p>
    <w:p>
      <w:pPr>
        <w:pStyle w:val="FirstParagraph"/>
      </w:pPr>
      <w:r>
        <w:t xml:space="preserve">Definir los criterios de cierre cuando se apruebe el plan de rehabilitación. Los criterios deben identificar:</w:t>
      </w:r>
    </w:p>
    <w:p>
      <w:pPr>
        <w:numPr>
          <w:ilvl w:val="0"/>
          <w:numId w:val="1036"/>
        </w:numPr>
        <w:pStyle w:val="Compact"/>
      </w:pPr>
      <w:r>
        <w:t xml:space="preserve">entregables requeridos;</w:t>
      </w:r>
    </w:p>
    <w:p>
      <w:pPr>
        <w:numPr>
          <w:ilvl w:val="0"/>
          <w:numId w:val="1036"/>
        </w:numPr>
        <w:pStyle w:val="Compact"/>
      </w:pPr>
      <w:r>
        <w:t xml:space="preserve">población o alcance afectados;</w:t>
      </w:r>
    </w:p>
    <w:p>
      <w:pPr>
        <w:numPr>
          <w:ilvl w:val="0"/>
          <w:numId w:val="1036"/>
        </w:numPr>
        <w:pStyle w:val="Compact"/>
      </w:pPr>
      <w:r>
        <w:t xml:space="preserve">diseño de control esperado;</w:t>
      </w:r>
    </w:p>
    <w:p>
      <w:pPr>
        <w:numPr>
          <w:ilvl w:val="0"/>
          <w:numId w:val="1036"/>
        </w:numPr>
        <w:pStyle w:val="Compact"/>
      </w:pPr>
      <w:r>
        <w:t xml:space="preserve">período de funcionamiento requerido;</w:t>
      </w:r>
    </w:p>
    <w:p>
      <w:pPr>
        <w:numPr>
          <w:ilvl w:val="0"/>
          <w:numId w:val="1036"/>
        </w:numPr>
        <w:pStyle w:val="Compact"/>
      </w:pPr>
      <w:r>
        <w:t xml:space="preserve">método de muestra o prueba;</w:t>
      </w:r>
    </w:p>
    <w:p>
      <w:pPr>
        <w:numPr>
          <w:ilvl w:val="0"/>
          <w:numId w:val="1036"/>
        </w:numPr>
        <w:pStyle w:val="Compact"/>
      </w:pPr>
      <w:r>
        <w:t xml:space="preserve">umbral de éxito;</w:t>
      </w:r>
    </w:p>
    <w:p>
      <w:pPr>
        <w:numPr>
          <w:ilvl w:val="0"/>
          <w:numId w:val="1036"/>
        </w:numPr>
        <w:pStyle w:val="Compact"/>
      </w:pPr>
    </w:p>
    <w:p>
      <w:pPr>
        <w:numPr>
          <w:ilvl w:val="1"/>
          <w:numId w:val="1037"/>
        </w:numPr>
        <w:pStyle w:val="Compact"/>
      </w:pPr>
      <w:r>
        <w:t xml:space="preserve">formato de prueba y procedencia;</w:t>
      </w:r>
    </w:p>
    <w:p>
      <w:pPr>
        <w:numPr>
          <w:ilvl w:val="0"/>
          <w:numId w:val="1036"/>
        </w:numPr>
        <w:pStyle w:val="Compact"/>
      </w:pPr>
      <w:r>
        <w:t xml:space="preserve">expectativa de riesgo residual;</w:t>
      </w:r>
    </w:p>
    <w:p>
      <w:pPr>
        <w:numPr>
          <w:ilvl w:val="0"/>
          <w:numId w:val="1036"/>
        </w:numPr>
        <w:pStyle w:val="Compact"/>
      </w:pPr>
      <w:r>
        <w:t xml:space="preserve">validador y autoridad de aprobación.</w:t>
      </w:r>
    </w:p>
    <w:bookmarkEnd w:id="74"/>
    <w:bookmarkStart w:id="75" w:name="pruebas-de-clausura"/>
    <w:p>
      <w:pPr>
        <w:pStyle w:val="Heading2"/>
      </w:pPr>
      <w:r>
        <w:t xml:space="preserve">Pruebas de clausura</w:t>
      </w:r>
    </w:p>
    <w:p>
      <w:pPr>
        <w:pStyle w:val="FirstParagraph"/>
      </w:pPr>
      <w:r>
        <w:t xml:space="preserve">Según la cuestión, las pruebas pueden incluir:</w:t>
      </w:r>
    </w:p>
    <w:p>
      <w:pPr>
        <w:numPr>
          <w:ilvl w:val="0"/>
          <w:numId w:val="1038"/>
        </w:numPr>
        <w:pStyle w:val="Compact"/>
      </w:pPr>
      <w:r>
        <w:t xml:space="preserve">políticas y procedimientos aprobados;</w:t>
      </w:r>
    </w:p>
    <w:p>
      <w:pPr>
        <w:numPr>
          <w:ilvl w:val="0"/>
          <w:numId w:val="1038"/>
        </w:numPr>
        <w:pStyle w:val="Compact"/>
      </w:pPr>
      <w:r>
        <w:t xml:space="preserve">exportaciones de configuración;</w:t>
      </w:r>
    </w:p>
    <w:p>
      <w:pPr>
        <w:numPr>
          <w:ilvl w:val="0"/>
          <w:numId w:val="1038"/>
        </w:numPr>
        <w:pStyle w:val="Compact"/>
      </w:pPr>
      <w:r>
        <w:t xml:space="preserve">informes de población;</w:t>
      </w:r>
    </w:p>
    <w:p>
      <w:pPr>
        <w:numPr>
          <w:ilvl w:val="0"/>
          <w:numId w:val="1038"/>
        </w:numPr>
        <w:pStyle w:val="Compact"/>
      </w:pPr>
      <w:r>
        <w:t xml:space="preserve">registros de aplicación;</w:t>
      </w:r>
    </w:p>
    <w:p>
      <w:pPr>
        <w:numPr>
          <w:ilvl w:val="0"/>
          <w:numId w:val="1038"/>
        </w:numPr>
        <w:pStyle w:val="Compact"/>
      </w:pPr>
      <w:r>
        <w:t xml:space="preserve">registros generados por el sistema;</w:t>
      </w:r>
    </w:p>
    <w:p>
      <w:pPr>
        <w:numPr>
          <w:ilvl w:val="0"/>
          <w:numId w:val="1038"/>
        </w:numPr>
        <w:pStyle w:val="Compact"/>
      </w:pPr>
    </w:p>
    <w:p>
      <w:pPr>
        <w:numPr>
          <w:ilvl w:val="1"/>
          <w:numId w:val="1039"/>
        </w:numPr>
        <w:pStyle w:val="Compact"/>
      </w:pPr>
      <w:r>
        <w:t xml:space="preserve">exámenes de acceso completados;</w:t>
      </w:r>
    </w:p>
    <w:p>
      <w:pPr>
        <w:numPr>
          <w:ilvl w:val="0"/>
          <w:numId w:val="1038"/>
        </w:numPr>
        <w:pStyle w:val="Compact"/>
      </w:pPr>
      <w:r>
        <w:t xml:space="preserve">test scripts and results;</w:t>
      </w:r>
    </w:p>
    <w:p>
      <w:pPr>
        <w:numPr>
          <w:ilvl w:val="0"/>
          <w:numId w:val="1038"/>
        </w:numPr>
        <w:pStyle w:val="Compact"/>
      </w:pPr>
    </w:p>
    <w:p>
      <w:pPr>
        <w:numPr>
          <w:ilvl w:val="1"/>
          <w:numId w:val="1040"/>
        </w:numPr>
        <w:pStyle w:val="Compact"/>
      </w:pPr>
      <w:r>
        <w:t xml:space="preserve">Registros de capacitación;</w:t>
      </w:r>
    </w:p>
    <w:p>
      <w:pPr>
        <w:numPr>
          <w:ilvl w:val="0"/>
          <w:numId w:val="1038"/>
        </w:numPr>
        <w:pStyle w:val="Compact"/>
      </w:pPr>
      <w:r>
        <w:t xml:space="preserve">control de los tableros de control;</w:t>
      </w:r>
    </w:p>
    <w:p>
      <w:pPr>
        <w:numPr>
          <w:ilvl w:val="0"/>
          <w:numId w:val="1038"/>
        </w:numPr>
        <w:pStyle w:val="Compact"/>
      </w:pPr>
      <w:r>
        <w:t xml:space="preserve">informes de excepción;</w:t>
      </w:r>
    </w:p>
    <w:p>
      <w:pPr>
        <w:numPr>
          <w:ilvl w:val="0"/>
          <w:numId w:val="1038"/>
        </w:numPr>
        <w:pStyle w:val="Compact"/>
      </w:pPr>
      <w:r>
        <w:t xml:space="preserve">Confirmaciones del vendedor;</w:t>
      </w:r>
    </w:p>
    <w:p>
      <w:pPr>
        <w:numPr>
          <w:ilvl w:val="0"/>
          <w:numId w:val="1038"/>
        </w:numPr>
        <w:pStyle w:val="Compact"/>
      </w:pPr>
    </w:p>
    <w:p>
      <w:pPr>
        <w:numPr>
          <w:ilvl w:val="1"/>
          <w:numId w:val="1041"/>
        </w:numPr>
        <w:pStyle w:val="Compact"/>
      </w:pPr>
      <w:r>
        <w:t xml:space="preserve">Aprobaciones de gestión;</w:t>
      </w:r>
    </w:p>
    <w:p>
      <w:pPr>
        <w:numPr>
          <w:ilvl w:val="0"/>
          <w:numId w:val="1038"/>
        </w:numPr>
        <w:pStyle w:val="Compact"/>
      </w:pPr>
      <w:r>
        <w:t xml:space="preserve">evidencia de operación sostenida.</w:t>
      </w:r>
    </w:p>
    <w:p>
      <w:pPr>
        <w:pStyle w:val="FirstParagraph"/>
      </w:pPr>
      <w:r>
        <w:t xml:space="preserve">Las pruebas deben ser actuales, completas, rastreables al sistema o proceso pertinente, y protegidas según sensibilidad.</w:t>
      </w:r>
    </w:p>
    <w:bookmarkEnd w:id="75"/>
    <w:bookmarkStart w:id="76" w:name="validación-independiente"/>
    <w:p>
      <w:pPr>
        <w:pStyle w:val="Heading2"/>
      </w:pPr>
      <w:r>
        <w:t xml:space="preserve">Validación independiente</w:t>
      </w:r>
    </w:p>
    <w:p>
      <w:pPr>
        <w:pStyle w:val="FirstParagraph"/>
      </w:pPr>
      <w:r>
        <w:t xml:space="preserve">El validador debe tener suficiente competencia e independencia de la persona que realiza el trabajo. La independencia puede ser de organización, supervisión o procedimiento dependiendo del riesgo y los recursos disponibles. El validador no debe aprobar el cierre únicamente del resumen del propietario de la acción.</w:t>
      </w:r>
    </w:p>
    <w:bookmarkEnd w:id="76"/>
    <w:bookmarkStart w:id="77" w:name="métodos-de-validación"/>
    <w:p>
      <w:pPr>
        <w:pStyle w:val="Heading2"/>
      </w:pPr>
      <w:r>
        <w:t xml:space="preserve">Métodos de validación</w:t>
      </w:r>
    </w:p>
    <w:p>
      <w:pPr>
        <w:pStyle w:val="FirstParagraph"/>
      </w:pPr>
      <w:r>
        <w:t xml:space="preserve">Use uno o más de los siguientes:</w:t>
      </w:r>
    </w:p>
    <w:p>
      <w:pPr>
        <w:numPr>
          <w:ilvl w:val="0"/>
          <w:numId w:val="1042"/>
        </w:numPr>
        <w:pStyle w:val="Compact"/>
      </w:pPr>
      <w:r>
        <w:t xml:space="preserve">inspección de documentos y configuración;</w:t>
      </w:r>
    </w:p>
    <w:p>
      <w:pPr>
        <w:numPr>
          <w:ilvl w:val="0"/>
          <w:numId w:val="1042"/>
        </w:numPr>
        <w:pStyle w:val="Compact"/>
      </w:pPr>
      <w:r>
        <w:t xml:space="preserve">la investigación corroborada por los registros;</w:t>
      </w:r>
    </w:p>
    <w:p>
      <w:pPr>
        <w:numPr>
          <w:ilvl w:val="0"/>
          <w:numId w:val="1042"/>
        </w:numPr>
        <w:pStyle w:val="Compact"/>
      </w:pPr>
      <w:r>
        <w:t xml:space="preserve">observación de la ejecución de procesos;</w:t>
      </w:r>
    </w:p>
    <w:p>
      <w:pPr>
        <w:numPr>
          <w:ilvl w:val="0"/>
          <w:numId w:val="1042"/>
        </w:numPr>
        <w:pStyle w:val="Compact"/>
      </w:pPr>
      <w:r>
        <w:t xml:space="preserve">reperformance;</w:t>
      </w:r>
    </w:p>
    <w:p>
      <w:pPr>
        <w:numPr>
          <w:ilvl w:val="0"/>
          <w:numId w:val="1042"/>
        </w:numPr>
        <w:pStyle w:val="Compact"/>
      </w:pPr>
      <w:r>
        <w:t xml:space="preserve">análisis de la población;</w:t>
      </w:r>
    </w:p>
    <w:p>
      <w:pPr>
        <w:numPr>
          <w:ilvl w:val="0"/>
          <w:numId w:val="1042"/>
        </w:numPr>
        <w:pStyle w:val="Compact"/>
      </w:pPr>
      <w:r>
        <w:t xml:space="preserve">muestreo representativo;</w:t>
      </w:r>
    </w:p>
    <w:p>
      <w:pPr>
        <w:numPr>
          <w:ilvl w:val="0"/>
          <w:numId w:val="1042"/>
        </w:numPr>
        <w:pStyle w:val="Compact"/>
      </w:pPr>
      <w:r>
        <w:t xml:space="preserve">pruebas de excepción;</w:t>
      </w:r>
    </w:p>
    <w:p>
      <w:pPr>
        <w:numPr>
          <w:ilvl w:val="0"/>
          <w:numId w:val="1042"/>
        </w:numPr>
        <w:pStyle w:val="Compact"/>
      </w:pPr>
      <w:r>
        <w:t xml:space="preserve">comparación con el diseño aprobado;</w:t>
      </w:r>
    </w:p>
    <w:p>
      <w:pPr>
        <w:numPr>
          <w:ilvl w:val="0"/>
          <w:numId w:val="1042"/>
        </w:numPr>
        <w:pStyle w:val="Compact"/>
      </w:pPr>
      <w:r>
        <w:t xml:space="preserve">Examen de las tendencias durante un período de funcionamiento.</w:t>
      </w:r>
    </w:p>
    <w:bookmarkEnd w:id="77"/>
    <w:bookmarkStart w:id="78" w:name="diseño-y-eficacia-operativa"/>
    <w:p>
      <w:pPr>
        <w:pStyle w:val="Heading2"/>
      </w:pPr>
      <w:r>
        <w:t xml:space="preserve">Diseño y eficacia operativa</w:t>
      </w:r>
    </w:p>
    <w:p>
      <w:pPr>
        <w:pStyle w:val="FirstParagraph"/>
      </w:pPr>
      <w:r>
        <w:t xml:space="preserve">Un control rediseñado puede ser adecuado en concepto, pero aún no demostrado en funcionamiento. Cuando se trate de la cuestión relativa a la eficacia operacional, se requieren pruebas que abarquen un período y una población adecuados. Una única ejecución exitosa puede no apoyar el cierre para un control recurrente.</w:t>
      </w:r>
    </w:p>
    <w:bookmarkEnd w:id="78"/>
    <w:bookmarkStart w:id="79" w:name="resultados-de-la-clausura"/>
    <w:p>
      <w:pPr>
        <w:pStyle w:val="Heading2"/>
      </w:pPr>
      <w:r>
        <w:t xml:space="preserve">Resultados de la clausura</w:t>
      </w:r>
    </w:p>
    <w:p>
      <w:pPr>
        <w:pStyle w:val="FirstParagraph"/>
      </w:pPr>
      <w:r>
        <w:t xml:space="preserve">Use resultados controlados como:</w:t>
      </w:r>
    </w:p>
    <w:p>
      <w:pPr>
        <w:numPr>
          <w:ilvl w:val="0"/>
          <w:numId w:val="1043"/>
        </w:numPr>
        <w:pStyle w:val="Compact"/>
      </w:pPr>
      <w:r>
        <w:rPr>
          <w:bCs/>
          <w:b/>
        </w:rPr>
        <w:t xml:space="preserve">Cerrado: efectivo:</w:t>
      </w:r>
      <w:r>
        <w:t xml:space="preserve"> </w:t>
      </w:r>
      <w:r>
        <w:t xml:space="preserve">criterios cumplidos y el riesgo reducido como se esperaba.</w:t>
      </w:r>
    </w:p>
    <w:p>
      <w:pPr>
        <w:numPr>
          <w:ilvl w:val="0"/>
          <w:numId w:val="1043"/>
        </w:numPr>
        <w:pStyle w:val="Compact"/>
      </w:pPr>
      <w:r>
        <w:rPr>
          <w:bCs/>
          <w:b/>
        </w:rPr>
        <w:t xml:space="preserve">Cerrado — aceptado riesgo residual:</w:t>
      </w:r>
      <w:r>
        <w:t xml:space="preserve"> </w:t>
      </w:r>
      <w:r>
        <w:t xml:space="preserve">acciones completadas, la exposición restante explícitamente aceptada.</w:t>
      </w:r>
    </w:p>
    <w:p>
      <w:pPr>
        <w:numPr>
          <w:ilvl w:val="0"/>
          <w:numId w:val="1043"/>
        </w:numPr>
        <w:pStyle w:val="Compact"/>
      </w:pPr>
      <w:r>
        <w:rPr>
          <w:bCs/>
          <w:b/>
        </w:rPr>
        <w:t xml:space="preserve">Remediado parcialmente:</w:t>
      </w:r>
      <w:r>
        <w:t xml:space="preserve"> </w:t>
      </w:r>
      <w:r>
        <w:t xml:space="preserve">se cumplieron algunos criterios; se siguió el trabajo.</w:t>
      </w:r>
    </w:p>
    <w:p>
      <w:pPr>
        <w:numPr>
          <w:ilvl w:val="0"/>
          <w:numId w:val="1043"/>
        </w:numPr>
        <w:pStyle w:val="Compact"/>
      </w:pPr>
      <w:r>
        <w:t xml:space="preserve">** La validación falló:** evidencia o rendimiento no apoya el cierre.</w:t>
      </w:r>
    </w:p>
    <w:p>
      <w:pPr>
        <w:numPr>
          <w:ilvl w:val="0"/>
          <w:numId w:val="1043"/>
        </w:numPr>
        <w:pStyle w:val="Compact"/>
      </w:pPr>
      <w:r>
        <w:rPr>
          <w:bCs/>
          <w:b/>
        </w:rPr>
        <w:t xml:space="preserve">Reabrido:</w:t>
      </w:r>
      <w:r>
        <w:t xml:space="preserve"> </w:t>
      </w:r>
      <w:r>
        <w:t xml:space="preserve">asunto previamente cerrado recurrió o la evidencia de cierre fue materialmente incompleta.</w:t>
      </w:r>
    </w:p>
    <w:p>
      <w:pPr>
        <w:numPr>
          <w:ilvl w:val="0"/>
          <w:numId w:val="1043"/>
        </w:numPr>
        <w:pStyle w:val="Compact"/>
      </w:pPr>
      <w:r>
        <w:rPr>
          <w:bCs/>
          <w:b/>
        </w:rPr>
        <w:t xml:space="preserve">Superficie:</w:t>
      </w:r>
      <w:r>
        <w:t xml:space="preserve"> </w:t>
      </w:r>
      <w:r>
        <w:t xml:space="preserve">sustituido por un requisito consolidado aprobado o modificado formalmente, con trazabilidad preservada.</w:t>
      </w:r>
    </w:p>
    <w:bookmarkEnd w:id="79"/>
    <w:bookmarkStart w:id="80" w:name="memorando-de-clausura"/>
    <w:p>
      <w:pPr>
        <w:pStyle w:val="Heading2"/>
      </w:pPr>
      <w:r>
        <w:t xml:space="preserve">Memorando de clausura</w:t>
      </w:r>
    </w:p>
    <w:p>
      <w:pPr>
        <w:pStyle w:val="FirstParagraph"/>
      </w:pPr>
      <w:r>
        <w:t xml:space="preserve">El registro de cierre debe indicar:</w:t>
      </w:r>
    </w:p>
    <w:p>
      <w:pPr>
        <w:numPr>
          <w:ilvl w:val="0"/>
          <w:numId w:val="1044"/>
        </w:numPr>
        <w:pStyle w:val="Compact"/>
      </w:pPr>
      <w:r>
        <w:t xml:space="preserve">encontrar y planificar identificadores;</w:t>
      </w:r>
    </w:p>
    <w:p>
      <w:pPr>
        <w:numPr>
          <w:ilvl w:val="0"/>
          <w:numId w:val="1044"/>
        </w:numPr>
        <w:pStyle w:val="Compact"/>
      </w:pPr>
      <w:r>
        <w:t xml:space="preserve">trabajo terminado;</w:t>
      </w:r>
    </w:p>
    <w:p>
      <w:pPr>
        <w:numPr>
          <w:ilvl w:val="0"/>
          <w:numId w:val="1044"/>
        </w:numPr>
        <w:pStyle w:val="Compact"/>
      </w:pPr>
    </w:p>
    <w:p>
      <w:pPr>
        <w:numPr>
          <w:ilvl w:val="1"/>
          <w:numId w:val="1045"/>
        </w:numPr>
        <w:pStyle w:val="Compact"/>
      </w:pPr>
      <w:r>
        <w:t xml:space="preserve">Examen de las pruebas;</w:t>
      </w:r>
    </w:p>
    <w:p>
      <w:pPr>
        <w:numPr>
          <w:ilvl w:val="0"/>
          <w:numId w:val="1044"/>
        </w:numPr>
        <w:pStyle w:val="Compact"/>
      </w:pPr>
    </w:p>
    <w:p>
      <w:pPr>
        <w:numPr>
          <w:ilvl w:val="1"/>
          <w:numId w:val="1046"/>
        </w:numPr>
        <w:pStyle w:val="Compact"/>
      </w:pPr>
      <w:r>
        <w:t xml:space="preserve">procedimientos de validación;</w:t>
      </w:r>
    </w:p>
    <w:p>
      <w:pPr>
        <w:numPr>
          <w:ilvl w:val="0"/>
          <w:numId w:val="1044"/>
        </w:numPr>
        <w:pStyle w:val="Compact"/>
      </w:pPr>
      <w:r>
        <w:t xml:space="preserve">muestra y período;</w:t>
      </w:r>
    </w:p>
    <w:p>
      <w:pPr>
        <w:numPr>
          <w:ilvl w:val="0"/>
          <w:numId w:val="1044"/>
        </w:numPr>
        <w:pStyle w:val="Compact"/>
      </w:pPr>
      <w:r>
        <w:t xml:space="preserve">resultados y excepciones;</w:t>
      </w:r>
    </w:p>
    <w:p>
      <w:pPr>
        <w:numPr>
          <w:ilvl w:val="0"/>
          <w:numId w:val="1044"/>
        </w:numPr>
        <w:pStyle w:val="Compact"/>
      </w:pPr>
      <w:r>
        <w:t xml:space="preserve">riesgo residual;</w:t>
      </w:r>
    </w:p>
    <w:p>
      <w:pPr>
        <w:numPr>
          <w:ilvl w:val="0"/>
          <w:numId w:val="1044"/>
        </w:numPr>
        <w:pStyle w:val="Compact"/>
      </w:pPr>
      <w:r>
        <w:t xml:space="preserve">conclusión;</w:t>
      </w:r>
    </w:p>
    <w:p>
      <w:pPr>
        <w:numPr>
          <w:ilvl w:val="0"/>
          <w:numId w:val="1044"/>
        </w:numPr>
        <w:pStyle w:val="Compact"/>
      </w:pPr>
      <w:r>
        <w:t xml:space="preserve">validador;</w:t>
      </w:r>
    </w:p>
    <w:p>
      <w:pPr>
        <w:numPr>
          <w:ilvl w:val="0"/>
          <w:numId w:val="1044"/>
        </w:numPr>
        <w:pStyle w:val="Compact"/>
      </w:pPr>
      <w:r>
        <w:t xml:space="preserve">Fecha de aprobación;</w:t>
      </w:r>
    </w:p>
    <w:p>
      <w:pPr>
        <w:numPr>
          <w:ilvl w:val="0"/>
          <w:numId w:val="1044"/>
        </w:numPr>
        <w:pStyle w:val="Compact"/>
      </w:pPr>
      <w:r>
        <w:t xml:space="preserve">seguimiento.</w:t>
      </w:r>
    </w:p>
    <w:bookmarkEnd w:id="80"/>
    <w:bookmarkStart w:id="81" w:name="revisión-de-la-sostenibilidad"/>
    <w:p>
      <w:pPr>
        <w:pStyle w:val="Heading2"/>
      </w:pPr>
      <w:r>
        <w:t xml:space="preserve">Revisión de la sostenibilidad</w:t>
      </w:r>
    </w:p>
    <w:p>
      <w:pPr>
        <w:pStyle w:val="FirstParagraph"/>
      </w:pPr>
      <w:r>
        <w:t xml:space="preserve">Para los hallazgos de alto riesgo o sistémicos, programe una revisión posterior al cierre. Confirme que:</w:t>
      </w:r>
    </w:p>
    <w:p>
      <w:pPr>
        <w:numPr>
          <w:ilvl w:val="0"/>
          <w:numId w:val="1047"/>
        </w:numPr>
        <w:pStyle w:val="Compact"/>
      </w:pPr>
      <w:r>
        <w:t xml:space="preserve">el control sigue funcionando;</w:t>
      </w:r>
    </w:p>
    <w:p>
      <w:pPr>
        <w:numPr>
          <w:ilvl w:val="0"/>
          <w:numId w:val="1047"/>
        </w:numPr>
        <w:pStyle w:val="Compact"/>
      </w:pPr>
      <w:r>
        <w:t xml:space="preserve">la propiedad sigue siendo activa;</w:t>
      </w:r>
    </w:p>
    <w:p>
      <w:pPr>
        <w:numPr>
          <w:ilvl w:val="0"/>
          <w:numId w:val="1047"/>
        </w:numPr>
        <w:pStyle w:val="Compact"/>
      </w:pPr>
      <w:r>
        <w:t xml:space="preserve">la vigilancia detecta excepciones;</w:t>
      </w:r>
    </w:p>
    <w:p>
      <w:pPr>
        <w:numPr>
          <w:ilvl w:val="0"/>
          <w:numId w:val="1047"/>
        </w:numPr>
        <w:pStyle w:val="Compact"/>
      </w:pPr>
      <w:r>
        <w:t xml:space="preserve">se retiraron adecuadamente los controles temporales;</w:t>
      </w:r>
    </w:p>
    <w:p>
      <w:pPr>
        <w:numPr>
          <w:ilvl w:val="0"/>
          <w:numId w:val="1047"/>
        </w:numPr>
        <w:pStyle w:val="Compact"/>
      </w:pPr>
      <w:r>
        <w:t xml:space="preserve">los cambios de proceso no introducen nuevos riesgos;</w:t>
      </w:r>
    </w:p>
    <w:p>
      <w:pPr>
        <w:numPr>
          <w:ilvl w:val="0"/>
          <w:numId w:val="1047"/>
        </w:numPr>
        <w:pStyle w:val="Compact"/>
      </w:pPr>
      <w:r>
        <w:t xml:space="preserve">se incluyeron poblaciones y sistemas conexos;</w:t>
      </w:r>
    </w:p>
    <w:p>
      <w:pPr>
        <w:numPr>
          <w:ilvl w:val="0"/>
          <w:numId w:val="1047"/>
        </w:numPr>
        <w:pStyle w:val="Compact"/>
      </w:pPr>
      <w:r>
        <w:t xml:space="preserve">Las métricas no muestran deterioro.</w:t>
      </w:r>
    </w:p>
    <w:bookmarkEnd w:id="81"/>
    <w:bookmarkStart w:id="82" w:name="resultados-repetidos"/>
    <w:p>
      <w:pPr>
        <w:pStyle w:val="Heading2"/>
      </w:pPr>
      <w:r>
        <w:t xml:space="preserve">Resultados repetidos</w:t>
      </w:r>
    </w:p>
    <w:p>
      <w:pPr>
        <w:pStyle w:val="FirstParagraph"/>
      </w:pPr>
      <w:r>
        <w:t xml:space="preserve">Una conclusión reiterada puede indicar un análisis ineficaz de las causas profundas, un alcance estrecho, una gobernanza débil, pruebas inadecuadas o un cierre prematuro. Escalar la recurrencia y reevaluar los resultados relacionados en lugar de tratar cada instancia de forma independiente.</w:t>
      </w:r>
    </w:p>
    <w:bookmarkEnd w:id="82"/>
    <w:bookmarkStart w:id="83" w:name="registros-y-retención"/>
    <w:p>
      <w:pPr>
        <w:pStyle w:val="Heading2"/>
      </w:pPr>
      <w:r>
        <w:t xml:space="preserve">Registros y retención</w:t>
      </w:r>
    </w:p>
    <w:p>
      <w:pPr>
        <w:pStyle w:val="FirstParagraph"/>
      </w:pPr>
      <w:r>
        <w:t xml:space="preserve">Preserve closure evidence, decisions, test records, approvals, and correspondence according to legal, regulatory, contractual, audit, litigation-hold, and records-management requirements. Aplicar restricciones de acceso y la eliminación segura cuando la retención expira.</w:t>
      </w:r>
    </w:p>
    <w:bookmarkEnd w:id="83"/>
    <w:bookmarkEnd w:id="84"/>
    <w:bookmarkStart w:id="109" w:name="Xe525b072cbb4333a449d305f857ba6f8bb641be"/>
    <w:p>
      <w:pPr>
        <w:pStyle w:val="Heading1"/>
      </w:pPr>
      <w:r>
        <w:t xml:space="preserve">Presentación de informes, procedimiento operativo y ejemplo trabajado</w:t>
      </w:r>
    </w:p>
    <w:bookmarkStart w:id="85" w:name="presentación-de-informes"/>
    <w:p>
      <w:pPr>
        <w:pStyle w:val="Heading2"/>
      </w:pPr>
      <w:r>
        <w:t xml:space="preserve">Presentación de informes</w:t>
      </w:r>
    </w:p>
    <w:p>
      <w:pPr>
        <w:pStyle w:val="FirstParagraph"/>
      </w:pPr>
      <w:r>
        <w:t xml:space="preserve">El conocimiento y la información sobre la rehabilitación deben apoyar las decisiones sobre el riesgo, los recursos, el tiempo y la rendición de cuentas. Evite los paneles que muestran sólo cuenta sin gravedad, edad, exposición, propiedad o tendencia.</w:t>
      </w:r>
    </w:p>
    <w:p>
      <w:pPr>
        <w:pStyle w:val="BodyText"/>
      </w:pPr>
      <w:r>
        <w:t xml:space="preserve">Una visión ejecutiva útil incluye:</w:t>
      </w:r>
    </w:p>
    <w:p>
      <w:pPr>
        <w:numPr>
          <w:ilvl w:val="0"/>
          <w:numId w:val="1048"/>
        </w:numPr>
        <w:pStyle w:val="Compact"/>
      </w:pPr>
      <w:r>
        <w:t xml:space="preserve">alcance de evaluación y confianza en la preparación actual;</w:t>
      </w:r>
    </w:p>
    <w:p>
      <w:pPr>
        <w:numPr>
          <w:ilvl w:val="0"/>
          <w:numId w:val="1048"/>
        </w:numPr>
        <w:pStyle w:val="Compact"/>
      </w:pPr>
      <w:r>
        <w:t xml:space="preserve">hallazgos abiertos por gravedad y edad;</w:t>
      </w:r>
    </w:p>
    <w:p>
      <w:pPr>
        <w:numPr>
          <w:ilvl w:val="0"/>
          <w:numId w:val="1048"/>
        </w:numPr>
        <w:pStyle w:val="Compact"/>
      </w:pPr>
      <w:r>
        <w:t xml:space="preserve">medidas atrasadas y extendidas;</w:t>
      </w:r>
    </w:p>
    <w:p>
      <w:pPr>
        <w:numPr>
          <w:ilvl w:val="0"/>
          <w:numId w:val="1048"/>
        </w:numPr>
        <w:pStyle w:val="Compact"/>
      </w:pPr>
      <w:r>
        <w:t xml:space="preserve">las dependencias críticas y las limitaciones de recursos;</w:t>
      </w:r>
    </w:p>
    <w:p>
      <w:pPr>
        <w:numPr>
          <w:ilvl w:val="0"/>
          <w:numId w:val="1048"/>
        </w:numPr>
        <w:pStyle w:val="Compact"/>
      </w:pPr>
      <w:r>
        <w:t xml:space="preserve">resultados repetidos o reabiertos;</w:t>
      </w:r>
    </w:p>
    <w:p>
      <w:pPr>
        <w:numPr>
          <w:ilvl w:val="0"/>
          <w:numId w:val="1048"/>
        </w:numPr>
        <w:pStyle w:val="Compact"/>
      </w:pPr>
      <w:r>
        <w:t xml:space="preserve">concentración de riesgo residual;</w:t>
      </w:r>
    </w:p>
    <w:p>
      <w:pPr>
        <w:numPr>
          <w:ilvl w:val="0"/>
          <w:numId w:val="1048"/>
        </w:numPr>
        <w:pStyle w:val="Compact"/>
      </w:pPr>
      <w:r>
        <w:t xml:space="preserve">próximas auditorías, certificaciones, reseñas de clientes o hitos regulatorios;</w:t>
      </w:r>
    </w:p>
    <w:p>
      <w:pPr>
        <w:numPr>
          <w:ilvl w:val="0"/>
          <w:numId w:val="1048"/>
        </w:numPr>
        <w:pStyle w:val="Compact"/>
      </w:pPr>
      <w:r>
        <w:t xml:space="preserve">decisiones requeridas por el liderazgo.</w:t>
      </w:r>
    </w:p>
    <w:bookmarkEnd w:id="85"/>
    <w:bookmarkStart w:id="86" w:name="cadencia-operativa"/>
    <w:p>
      <w:pPr>
        <w:pStyle w:val="Heading2"/>
      </w:pPr>
      <w:r>
        <w:t xml:space="preserve">Cadencia operativa</w:t>
      </w:r>
    </w:p>
    <w:p>
      <w:pPr>
        <w:pStyle w:val="FirstParagraph"/>
      </w:pPr>
      <w:r>
        <w:t xml:space="preserve">Una cadencia práctica puede incluir:</w:t>
      </w:r>
    </w:p>
    <w:p>
      <w:pPr>
        <w:numPr>
          <w:ilvl w:val="0"/>
          <w:numId w:val="1049"/>
        </w:numPr>
        <w:pStyle w:val="Compact"/>
      </w:pPr>
      <w:r>
        <w:t xml:space="preserve">Examen semanal de la adopción de medidas para los resultados críticos y altos;</w:t>
      </w:r>
    </w:p>
    <w:p>
      <w:pPr>
        <w:numPr>
          <w:ilvl w:val="0"/>
          <w:numId w:val="1049"/>
        </w:numPr>
        <w:pStyle w:val="Compact"/>
      </w:pPr>
      <w:r>
        <w:t xml:space="preserve">Reunión mensual de gobernanza de la rehabilitación;</w:t>
      </w:r>
    </w:p>
    <w:p>
      <w:pPr>
        <w:numPr>
          <w:ilvl w:val="0"/>
          <w:numId w:val="1049"/>
        </w:numPr>
        <w:pStyle w:val="Compact"/>
      </w:pPr>
      <w:r>
        <w:t xml:space="preserve">informes trimestrales de los comités ejecutivos o de riesgo;</w:t>
      </w:r>
    </w:p>
    <w:p>
      <w:pPr>
        <w:numPr>
          <w:ilvl w:val="0"/>
          <w:numId w:val="1049"/>
        </w:numPr>
        <w:pStyle w:val="Compact"/>
      </w:pPr>
      <w:r>
        <w:t xml:space="preserve">escalada impulsada por eventos para hitos críticos perdidos, cambios de alcance material, pruebas de cierre fallidas o nueva exposición.</w:t>
      </w:r>
    </w:p>
    <w:p>
      <w:pPr>
        <w:pStyle w:val="FirstParagraph"/>
      </w:pPr>
      <w:r>
        <w:t xml:space="preserve">Los registros deben capturar decisiones, propietarios, fechas debidas y opiniones disensas.</w:t>
      </w:r>
    </w:p>
    <w:bookmarkEnd w:id="86"/>
    <w:bookmarkStart w:id="96" w:name="procedimiento-operativo-final-a-extremo"/>
    <w:p>
      <w:pPr>
        <w:pStyle w:val="Heading2"/>
      </w:pPr>
      <w:r>
        <w:t xml:space="preserve">Procedimiento operativo final a extremo</w:t>
      </w:r>
    </w:p>
    <w:bookmarkStart w:id="87" w:name="X7d1985fadd7052eaf48b6bc1f07c77de6c5200c"/>
    <w:p>
      <w:pPr>
        <w:pStyle w:val="Heading3"/>
      </w:pPr>
      <w:r>
        <w:t xml:space="preserve">Paso 1 - Autorizar el examen de la preparación</w:t>
      </w:r>
    </w:p>
    <w:p>
      <w:pPr>
        <w:pStyle w:val="FirstParagraph"/>
      </w:pPr>
      <w:r>
        <w:t xml:space="preserve">Confirme el patrocinador, objetivo, criterios, alcance, período, sistemas, ubicaciones, partes interesadas, expectativas de independencia y ruta de presentación de informes.</w:t>
      </w:r>
    </w:p>
    <w:bookmarkEnd w:id="87"/>
    <w:bookmarkStart w:id="88" w:name="X34a11f15bb01e9d4d028ba06541940c1e7c060b"/>
    <w:p>
      <w:pPr>
        <w:pStyle w:val="Heading3"/>
      </w:pPr>
      <w:r>
        <w:t xml:space="preserve">Paso 2 - Construir los criterios y controlar el universo</w:t>
      </w:r>
    </w:p>
    <w:p>
      <w:pPr>
        <w:pStyle w:val="FirstParagraph"/>
      </w:pPr>
      <w:r>
        <w:t xml:space="preserve">Map applicable requirements to control objectives, owners, systems, evidence sources, and assessment procedures. Hipótesis de interpretación y exclusiones.</w:t>
      </w:r>
    </w:p>
    <w:bookmarkEnd w:id="88"/>
    <w:bookmarkStart w:id="89" w:name="Xb7776d6e4adee8e3ddb1305c7e81724043ff907"/>
    <w:p>
      <w:pPr>
        <w:pStyle w:val="Heading3"/>
      </w:pPr>
      <w:r>
        <w:t xml:space="preserve">Paso 3 - Realizar la evaluación de la preparación</w:t>
      </w:r>
    </w:p>
    <w:p>
      <w:pPr>
        <w:pStyle w:val="FirstParagraph"/>
      </w:pPr>
      <w:r>
        <w:t xml:space="preserve">Revisión de diseño, implementación y pruebas operativas disponibles. Use la investigación, inspección, observación, reperformance, análisis de población y muestreo según corresponda.</w:t>
      </w:r>
    </w:p>
    <w:bookmarkEnd w:id="89"/>
    <w:bookmarkStart w:id="90" w:name="X85696f13d162b5fce746cb76f541eab5d46eab6"/>
    <w:p>
      <w:pPr>
        <w:pStyle w:val="Heading3"/>
      </w:pPr>
      <w:r>
        <w:t xml:space="preserve">Paso 4 - Registro de lagunas y validar hechos</w:t>
      </w:r>
    </w:p>
    <w:p>
      <w:pPr>
        <w:pStyle w:val="FirstParagraph"/>
      </w:pPr>
      <w:r>
        <w:t xml:space="preserve">Criterio de documento, condición, evidencia, alcance, causa, riesgo, controles compensatorios y propietario propuesto. Permitir un desafío fáctico apoyado por pruebas.</w:t>
      </w:r>
    </w:p>
    <w:bookmarkEnd w:id="90"/>
    <w:bookmarkStart w:id="91" w:name="X891f66cf0cae9f4fc093fabfd27453e13c383c8"/>
    <w:p>
      <w:pPr>
        <w:pStyle w:val="Heading3"/>
      </w:pPr>
      <w:r>
        <w:t xml:space="preserve">Paso 5 - Priorizar y aprobar las conclusiones</w:t>
      </w:r>
    </w:p>
    <w:p>
      <w:pPr>
        <w:pStyle w:val="FirstParagraph"/>
      </w:pPr>
      <w:r>
        <w:t xml:space="preserve">Aplicar definiciones de gravedad aprobadas. Clasificación final récord, propietario responsable, fecha de aceptación y requisitos de escalada.</w:t>
      </w:r>
    </w:p>
    <w:bookmarkEnd w:id="91"/>
    <w:bookmarkStart w:id="92" w:name="X208be115699979a45eee70b8e08e9c97db0ae52"/>
    <w:p>
      <w:pPr>
        <w:pStyle w:val="Heading3"/>
      </w:pPr>
      <w:r>
        <w:t xml:space="preserve">Paso 6 - Aprobar los planes de rehabilitación</w:t>
      </w:r>
    </w:p>
    <w:p>
      <w:pPr>
        <w:pStyle w:val="FirstParagraph"/>
      </w:pPr>
      <w:r>
        <w:t xml:space="preserve">Exigir medidas vinculadas a causas, controles provisionales, hitos, recursos, medidas de éxito, pruebas de cierre y expectativas de riesgo residual.</w:t>
      </w:r>
    </w:p>
    <w:bookmarkEnd w:id="92"/>
    <w:bookmarkStart w:id="93" w:name="paso-7---ejecución-de-vigilancia"/>
    <w:p>
      <w:pPr>
        <w:pStyle w:val="Heading3"/>
      </w:pPr>
      <w:r>
        <w:t xml:space="preserve">Paso 7 - Ejecución de vigilancia</w:t>
      </w:r>
    </w:p>
    <w:p>
      <w:pPr>
        <w:pStyle w:val="FirstParagraph"/>
      </w:pPr>
      <w:r>
        <w:t xml:space="preserve">Seguimiento de hitos, bloqueadores, extensiones, cambios de alcance, riesgo emergente y evidencia. Escalar según la gravedad y las reglas de gobernanza.</w:t>
      </w:r>
    </w:p>
    <w:bookmarkEnd w:id="93"/>
    <w:bookmarkStart w:id="94" w:name="paso-8---cierre-validado"/>
    <w:p>
      <w:pPr>
        <w:pStyle w:val="Heading3"/>
      </w:pPr>
      <w:r>
        <w:t xml:space="preserve">Paso 8 - Cierre validado</w:t>
      </w:r>
    </w:p>
    <w:p>
      <w:pPr>
        <w:pStyle w:val="FirstParagraph"/>
      </w:pPr>
      <w:r>
        <w:t xml:space="preserve">Compleción de pruebas y eficacia frente a criterios previamente acordados. Registro de pruebas, procedimientos, muestra, resultados, riesgo residual, conclusión y seguimiento.</w:t>
      </w:r>
    </w:p>
    <w:bookmarkEnd w:id="94"/>
    <w:bookmarkStart w:id="95" w:name="paso-9---reportar-y-aprender"/>
    <w:p>
      <w:pPr>
        <w:pStyle w:val="Heading3"/>
      </w:pPr>
      <w:r>
        <w:t xml:space="preserve">Paso 9 - Reportar y aprender</w:t>
      </w:r>
    </w:p>
    <w:p>
      <w:pPr>
        <w:pStyle w:val="FirstParagraph"/>
      </w:pPr>
      <w:r>
        <w:t xml:space="preserve">Report trends, repeated causes, overdue exposure, resource constraints, closure failures, and lessons that should change control design or governance.</w:t>
      </w:r>
    </w:p>
    <w:bookmarkEnd w:id="95"/>
    <w:bookmarkEnd w:id="96"/>
    <w:bookmarkStart w:id="103" w:name="ejemplo-trabajado"/>
    <w:p>
      <w:pPr>
        <w:pStyle w:val="Heading2"/>
      </w:pPr>
      <w:r>
        <w:t xml:space="preserve">Ejemplo trabajado</w:t>
      </w:r>
    </w:p>
    <w:bookmarkStart w:id="97" w:name="escenario"/>
    <w:p>
      <w:pPr>
        <w:pStyle w:val="Heading3"/>
      </w:pPr>
      <w:r>
        <w:t xml:space="preserve">Escenario</w:t>
      </w:r>
    </w:p>
    <w:p>
      <w:pPr>
        <w:pStyle w:val="FirstParagraph"/>
      </w:pPr>
      <w:r>
        <w:t xml:space="preserve">El procedimiento de control de acceso de una organización requiere que las cuentas de usuario terminado sean deshabilitadas dentro de un día de negocio. Una revisión de la preparación compara los registros de terminación de recursos humanos con las cuentas de identificación-plataforma para el trimestre anterior.</w:t>
      </w:r>
    </w:p>
    <w:bookmarkEnd w:id="97"/>
    <w:bookmarkStart w:id="98" w:name="pruebas-y-resultados"/>
    <w:p>
      <w:pPr>
        <w:pStyle w:val="Heading3"/>
      </w:pPr>
      <w:r>
        <w:t xml:space="preserve">Pruebas y resultados</w:t>
      </w:r>
    </w:p>
    <w:p>
      <w:pPr>
        <w:pStyle w:val="FirstParagraph"/>
      </w:pPr>
      <w:r>
        <w:t xml:space="preserve">The reviewer obtains the complete termination population from the HR system and the account-status export from the identity platform. Six of 120 terminated workers had active accounts more than one business day after termination. Dos cuentas permanecieron activas durante más de diez días. No se identificó ninguna prueba de uso indebido, pero la vigilancia no detectó de manera fiable la discapacidad excesiva.</w:t>
      </w:r>
    </w:p>
    <w:bookmarkEnd w:id="98"/>
    <w:bookmarkStart w:id="99" w:name="encontrar"/>
    <w:p>
      <w:pPr>
        <w:pStyle w:val="Heading3"/>
      </w:pPr>
      <w:r>
        <w:t xml:space="preserve">Encontrar</w:t>
      </w:r>
    </w:p>
    <w:p>
      <w:pPr>
        <w:numPr>
          <w:ilvl w:val="0"/>
          <w:numId w:val="1050"/>
        </w:numPr>
        <w:pStyle w:val="Compact"/>
      </w:pPr>
      <w:r>
        <w:t xml:space="preserve">Criterio: procedimiento aprobado de acceso a la terminación que requiere desactivación dentro de un día de trabajo.</w:t>
      </w:r>
    </w:p>
    <w:p>
      <w:pPr>
        <w:numPr>
          <w:ilvl w:val="0"/>
          <w:numId w:val="1050"/>
        </w:numPr>
        <w:pStyle w:val="Compact"/>
      </w:pPr>
      <w:r>
        <w:t xml:space="preserve">Estado: seis de 120 cuentas superaron el plazo aprobado.</w:t>
      </w:r>
    </w:p>
    <w:p>
      <w:pPr>
        <w:numPr>
          <w:ilvl w:val="0"/>
          <w:numId w:val="1050"/>
        </w:numPr>
        <w:pStyle w:val="Compact"/>
      </w:pPr>
      <w:r>
        <w:t xml:space="preserve">Causa: el proceso dependía de la notificación manual de correo electrónico, carecía de reconciliación y no asignó propiedad para las notificaciones fallidas.</w:t>
      </w:r>
    </w:p>
    <w:p>
      <w:pPr>
        <w:numPr>
          <w:ilvl w:val="0"/>
          <w:numId w:val="1050"/>
        </w:numPr>
        <w:pStyle w:val="Compact"/>
      </w:pPr>
      <w:r>
        <w:t xml:space="preserve">Riesgo: los antiguos trabajadores pueden conservar el acceso no autorizado a sistemas y datos.</w:t>
      </w:r>
    </w:p>
    <w:p>
      <w:pPr>
        <w:numPr>
          <w:ilvl w:val="0"/>
          <w:numId w:val="1050"/>
        </w:numPr>
        <w:pStyle w:val="Compact"/>
      </w:pPr>
      <w:r>
        <w:t xml:space="preserve">Prioridad: alta, basada en la exposición al acceso, la duración y la debilidad de monitoreo.</w:t>
      </w:r>
    </w:p>
    <w:bookmarkEnd w:id="99"/>
    <w:bookmarkStart w:id="100" w:name="plan-de-rehabilitación"/>
    <w:p>
      <w:pPr>
        <w:pStyle w:val="Heading3"/>
      </w:pPr>
      <w:r>
        <w:t xml:space="preserve">Plan de rehabilitación</w:t>
      </w:r>
    </w:p>
    <w:p>
      <w:pPr>
        <w:numPr>
          <w:ilvl w:val="0"/>
          <w:numId w:val="1051"/>
        </w:numPr>
        <w:pStyle w:val="Compact"/>
      </w:pPr>
      <w:r>
        <w:t xml:space="preserve">Implementar la reconciliación diaria de HR a identidad.</w:t>
      </w:r>
    </w:p>
    <w:p>
      <w:pPr>
        <w:numPr>
          <w:ilvl w:val="0"/>
          <w:numId w:val="1051"/>
        </w:numPr>
        <w:pStyle w:val="Compact"/>
      </w:pPr>
      <w:r>
        <w:t xml:space="preserve">Assign exception ownership to identity operations.</w:t>
      </w:r>
    </w:p>
    <w:p>
      <w:pPr>
        <w:numPr>
          <w:ilvl w:val="0"/>
          <w:numId w:val="1051"/>
        </w:numPr>
        <w:pStyle w:val="Compact"/>
      </w:pPr>
      <w:r>
        <w:t xml:space="preserve">Cree una regla de alerta y escalada atrasada.</w:t>
      </w:r>
    </w:p>
    <w:p>
      <w:pPr>
        <w:numPr>
          <w:ilvl w:val="0"/>
          <w:numId w:val="1051"/>
        </w:numPr>
        <w:pStyle w:val="Compact"/>
      </w:pPr>
      <w:r>
        <w:t xml:space="preserve">Corregir todas las excepciones actuales.</w:t>
      </w:r>
    </w:p>
    <w:p>
      <w:pPr>
        <w:numPr>
          <w:ilvl w:val="0"/>
          <w:numId w:val="1051"/>
        </w:numPr>
        <w:pStyle w:val="Compact"/>
      </w:pPr>
      <w:r>
        <w:t xml:space="preserve">Prueba a toda la población semanal durante ocho semanas.</w:t>
      </w:r>
    </w:p>
    <w:p>
      <w:pPr>
        <w:numPr>
          <w:ilvl w:val="0"/>
          <w:numId w:val="1051"/>
        </w:numPr>
        <w:pStyle w:val="Compact"/>
      </w:pPr>
      <w:r>
        <w:t xml:space="preserve">Report exceptions and response time to the security governance forum.</w:t>
      </w:r>
    </w:p>
    <w:bookmarkEnd w:id="100"/>
    <w:bookmarkStart w:id="101" w:name="criterios-de-cierre-1"/>
    <w:p>
      <w:pPr>
        <w:pStyle w:val="Heading3"/>
      </w:pPr>
      <w:r>
        <w:t xml:space="preserve">Criterios de cierre</w:t>
      </w:r>
    </w:p>
    <w:p>
      <w:pPr>
        <w:numPr>
          <w:ilvl w:val="0"/>
          <w:numId w:val="1052"/>
        </w:numPr>
        <w:pStyle w:val="Compact"/>
      </w:pPr>
      <w:r>
        <w:t xml:space="preserve">todas las cuentas atrasadas actuales corregidas;</w:t>
      </w:r>
    </w:p>
    <w:p>
      <w:pPr>
        <w:numPr>
          <w:ilvl w:val="0"/>
          <w:numId w:val="1052"/>
        </w:numPr>
        <w:pStyle w:val="Compact"/>
      </w:pPr>
      <w:r>
        <w:t xml:space="preserve">funcionamiento de la reconciliación diaria automatizada;</w:t>
      </w:r>
    </w:p>
    <w:p>
      <w:pPr>
        <w:numPr>
          <w:ilvl w:val="0"/>
          <w:numId w:val="1052"/>
        </w:numPr>
        <w:pStyle w:val="Compact"/>
      </w:pPr>
      <w:r>
        <w:t xml:space="preserve">la propiedad documentada y la escalada;</w:t>
      </w:r>
    </w:p>
    <w:p>
      <w:pPr>
        <w:numPr>
          <w:ilvl w:val="0"/>
          <w:numId w:val="1052"/>
        </w:numPr>
        <w:pStyle w:val="Compact"/>
      </w:pPr>
      <w:r>
        <w:t xml:space="preserve">8 semanas de pruebas de población;</w:t>
      </w:r>
    </w:p>
    <w:p>
      <w:pPr>
        <w:numPr>
          <w:ilvl w:val="0"/>
          <w:numId w:val="1052"/>
        </w:numPr>
        <w:pStyle w:val="Compact"/>
      </w:pPr>
      <w:r>
        <w:t xml:space="preserve">no hay cuentas atrasadas inexplicables;</w:t>
      </w:r>
    </w:p>
    <w:p>
      <w:pPr>
        <w:numPr>
          <w:ilvl w:val="0"/>
          <w:numId w:val="1052"/>
        </w:numPr>
        <w:pStyle w:val="Compact"/>
      </w:pPr>
      <w:r>
        <w:t xml:space="preserve">excepciones resueltas dentro del plazo aprobado o escalada formal.</w:t>
      </w:r>
    </w:p>
    <w:bookmarkEnd w:id="101"/>
    <w:bookmarkStart w:id="102" w:name="conclusión-de-validación"/>
    <w:p>
      <w:pPr>
        <w:pStyle w:val="Heading3"/>
      </w:pPr>
      <w:r>
        <w:t xml:space="preserve">Conclusión de validación</w:t>
      </w:r>
    </w:p>
    <w:p>
      <w:pPr>
        <w:pStyle w:val="FirstParagraph"/>
      </w:pPr>
      <w:r>
        <w:t xml:space="preserve">Si las pruebas de ocho semanas respaldan los criterios, la conclusión puede cerrarse con un seguimiento trimestral continuo. Si las cuentas retrasadas permanecen o la población de reconciliación es incompleta, la validación falla y el hallazgo permanece abierto.</w:t>
      </w:r>
    </w:p>
    <w:bookmarkEnd w:id="102"/>
    <w:bookmarkEnd w:id="103"/>
    <w:bookmarkStart w:id="107" w:name="plan-de-aplicación-práctica"/>
    <w:p>
      <w:pPr>
        <w:pStyle w:val="Heading2"/>
      </w:pPr>
      <w:r>
        <w:t xml:space="preserve">Plan de aplicación práctica</w:t>
      </w:r>
    </w:p>
    <w:bookmarkStart w:id="104" w:name="primeros-30-días"/>
    <w:p>
      <w:pPr>
        <w:pStyle w:val="Heading3"/>
      </w:pPr>
      <w:r>
        <w:t xml:space="preserve">Primeros 30 días</w:t>
      </w:r>
    </w:p>
    <w:p>
      <w:pPr>
        <w:numPr>
          <w:ilvl w:val="0"/>
          <w:numId w:val="1053"/>
        </w:numPr>
        <w:pStyle w:val="Compact"/>
      </w:pPr>
      <w:r>
        <w:t xml:space="preserve">aprobar definiciones de gobernanza y gravedad;</w:t>
      </w:r>
    </w:p>
    <w:p>
      <w:pPr>
        <w:numPr>
          <w:ilvl w:val="0"/>
          <w:numId w:val="1053"/>
        </w:numPr>
        <w:pStyle w:val="Compact"/>
      </w:pPr>
      <w:r>
        <w:t xml:space="preserve">inventario de las próximas actividades de garantía;</w:t>
      </w:r>
    </w:p>
    <w:p>
      <w:pPr>
        <w:numPr>
          <w:ilvl w:val="0"/>
          <w:numId w:val="1053"/>
        </w:numPr>
        <w:pStyle w:val="Compact"/>
      </w:pPr>
      <w:r>
        <w:t xml:space="preserve">establecer el mapa de criterios a control;</w:t>
      </w:r>
    </w:p>
    <w:p>
      <w:pPr>
        <w:numPr>
          <w:ilvl w:val="0"/>
          <w:numId w:val="1053"/>
        </w:numPr>
        <w:pStyle w:val="Compact"/>
      </w:pPr>
      <w:r>
        <w:t xml:space="preserve">identificar a los propietarios de control y remediación;</w:t>
      </w:r>
    </w:p>
    <w:p>
      <w:pPr>
        <w:numPr>
          <w:ilvl w:val="0"/>
          <w:numId w:val="1053"/>
        </w:numPr>
        <w:pStyle w:val="Compact"/>
      </w:pPr>
      <w:r>
        <w:t xml:space="preserve">desplegar la preparación y encontrar rastreadores.</w:t>
      </w:r>
    </w:p>
    <w:bookmarkEnd w:id="104"/>
    <w:bookmarkStart w:id="105" w:name="días-31-60"/>
    <w:p>
      <w:pPr>
        <w:pStyle w:val="Heading3"/>
      </w:pPr>
      <w:r>
        <w:t xml:space="preserve">Días 31-60</w:t>
      </w:r>
    </w:p>
    <w:p>
      <w:pPr>
        <w:numPr>
          <w:ilvl w:val="0"/>
          <w:numId w:val="1054"/>
        </w:numPr>
        <w:pStyle w:val="Compact"/>
      </w:pPr>
      <w:r>
        <w:t xml:space="preserve">realizar exámenes de la preparación basada en el riesgo;</w:t>
      </w:r>
    </w:p>
    <w:p>
      <w:pPr>
        <w:numPr>
          <w:ilvl w:val="0"/>
          <w:numId w:val="1054"/>
        </w:numPr>
        <w:pStyle w:val="Compact"/>
      </w:pPr>
      <w:r>
        <w:t xml:space="preserve">validar conclusiones y causas;</w:t>
      </w:r>
    </w:p>
    <w:p>
      <w:pPr>
        <w:numPr>
          <w:ilvl w:val="0"/>
          <w:numId w:val="1054"/>
        </w:numPr>
        <w:pStyle w:val="Compact"/>
      </w:pPr>
      <w:r>
        <w:t xml:space="preserve">aprobar planes de rehabilitación;</w:t>
      </w:r>
    </w:p>
    <w:p>
      <w:pPr>
        <w:numPr>
          <w:ilvl w:val="0"/>
          <w:numId w:val="1054"/>
        </w:numPr>
        <w:pStyle w:val="Compact"/>
      </w:pPr>
      <w:r>
        <w:t xml:space="preserve">iniciar la presentación de informes sobre la gobernanza;</w:t>
      </w:r>
    </w:p>
    <w:p>
      <w:pPr>
        <w:numPr>
          <w:ilvl w:val="0"/>
          <w:numId w:val="1054"/>
        </w:numPr>
        <w:pStyle w:val="Compact"/>
      </w:pPr>
      <w:r>
        <w:t xml:space="preserve">Establecer normas de seguridad para el cierre.</w:t>
      </w:r>
    </w:p>
    <w:bookmarkEnd w:id="105"/>
    <w:bookmarkStart w:id="106" w:name="días-61-a-90"/>
    <w:p>
      <w:pPr>
        <w:pStyle w:val="Heading3"/>
      </w:pPr>
      <w:r>
        <w:t xml:space="preserve">Días 61 a 90</w:t>
      </w:r>
    </w:p>
    <w:p>
      <w:pPr>
        <w:numPr>
          <w:ilvl w:val="0"/>
          <w:numId w:val="1055"/>
        </w:numPr>
        <w:pStyle w:val="Compact"/>
      </w:pPr>
      <w:r>
        <w:t xml:space="preserve">validar los resultados de la rehabilitación temprana;</w:t>
      </w:r>
    </w:p>
    <w:p>
      <w:pPr>
        <w:numPr>
          <w:ilvl w:val="0"/>
          <w:numId w:val="1055"/>
        </w:numPr>
        <w:pStyle w:val="Compact"/>
      </w:pPr>
      <w:r>
        <w:t xml:space="preserve">analizar las causas recurrentes y los cuellos de botella;</w:t>
      </w:r>
    </w:p>
    <w:p>
      <w:pPr>
        <w:numPr>
          <w:ilvl w:val="0"/>
          <w:numId w:val="1055"/>
        </w:numPr>
        <w:pStyle w:val="Compact"/>
      </w:pPr>
      <w:r>
        <w:t xml:space="preserve">refinar las métricas y los umbrales de escalada;</w:t>
      </w:r>
    </w:p>
    <w:p>
      <w:pPr>
        <w:numPr>
          <w:ilvl w:val="0"/>
          <w:numId w:val="1055"/>
        </w:numPr>
        <w:pStyle w:val="Compact"/>
      </w:pPr>
      <w:r>
        <w:t xml:space="preserve">programar exámenes de sostenibilidad;</w:t>
      </w:r>
    </w:p>
    <w:p>
      <w:pPr>
        <w:numPr>
          <w:ilvl w:val="0"/>
          <w:numId w:val="1055"/>
        </w:numPr>
        <w:pStyle w:val="Compact"/>
      </w:pPr>
      <w:r>
        <w:t xml:space="preserve">integrar las lecciones en el control continuo.</w:t>
      </w:r>
    </w:p>
    <w:bookmarkEnd w:id="106"/>
    <w:bookmarkEnd w:id="107"/>
    <w:bookmarkStart w:id="108" w:name="principio-final"/>
    <w:p>
      <w:pPr>
        <w:pStyle w:val="Heading2"/>
      </w:pPr>
      <w:r>
        <w:t xml:space="preserve">Principio final</w:t>
      </w:r>
    </w:p>
    <w:p>
      <w:pPr>
        <w:pStyle w:val="FirstParagraph"/>
      </w:pPr>
      <w:r>
        <w:t xml:space="preserve">Readiness es una capacidad de gobernanza continua. The objective is not to create the appearance of compliance for an assessment date, but to maintain controls and evidence that remain credible before, during, and after independent review.</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dc:language>es-419</dc:language>
  <cp:keywords/>
  <dcterms:created xsi:type="dcterms:W3CDTF">2026-08-01T18:02:55Z</dcterms:created>
  <dcterms:modified xsi:type="dcterms:W3CDTF">2026-08-01T18:02:55Z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ítulo">
    <vt:lpwstr>Manual Práctico de Preparación para Auditorías y Gestión de Remediación</vt:lpwstr>
  </property>
  <property fmtid="{D5CDD505-2E9C-101B-9397-08002B2CF9AE}" pid="3" name="autor">
    <vt:lpwstr>Alberto Al Leiva</vt:lpwstr>
  </property>
  <property fmtid="{D5CDD505-2E9C-101B-9397-08002B2CF9AE}" pid="4" name="derechos">
    <vt:lpwstr>CC BY-NC-SA 4.0 salvo que un archivo indique lo contrario</vt:lpwstr>
  </property>
  <property fmtid="{D5CDD505-2E9C-101B-9397-08002B2CF9AE}" pid="5" name="fecha">
    <vt:lpwstr>1 de agosto de 2026</vt:lpwstr>
  </property>
  <property fmtid="{D5CDD505-2E9C-101B-9397-08002B2CF9AE}" pid="6" name="status">
    <vt:lpwstr>Candidato de publicación asistido por máquina; no se presenta como revisión lingüística nativa.</vt:lpwstr>
  </property>
  <property fmtid="{D5CDD505-2E9C-101B-9397-08002B2CF9AE}" pid="7" name="sujeto">
    <vt:lpwstr>GRC, preparación para auditorías, hallazgos, remediación y validación de cierre</vt:lpwstr>
  </property>
</Properties>
</file>