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Alberto Al Leiva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2b2f1d9192d768b34ed6ad800f7b4f2128cdf5c"/>
    <w:p>
      <w:pPr>
        <w:pStyle w:val="Heading1"/>
      </w:pPr>
      <w:r>
        <w:t xml:space="preserve">Audição Preparação e Gestão de Remediação Manual Prático</w:t>
      </w:r>
    </w:p>
    <w:p>
      <w:pPr>
        <w:pStyle w:val="FirstParagraph"/>
      </w:pPr>
      <w:r>
        <w:t xml:space="preserve">Este manual fornece orientação educacional e operacional. Não constitui aconselhamento jurídico, regulamentar, de certificação, contabilístico ou de auditoria formal.</w:t>
      </w:r>
    </w:p>
    <w:bookmarkEnd w:id="20"/>
    <w:bookmarkStart w:id="41" w:name="X4ed06b40c7374882449e07bf8c3349ebe3afa72"/>
    <w:p>
      <w:pPr>
        <w:pStyle w:val="Heading1"/>
      </w:pPr>
      <w:r>
        <w:t xml:space="preserve">Capítulo 1 — Estratégia de governação e avaliação da preparação</w:t>
      </w:r>
    </w:p>
    <w:bookmarkStart w:id="21" w:name="objectivo-da-preparação-para-a-auditoria"/>
    <w:p>
      <w:pPr>
        <w:pStyle w:val="Heading2"/>
      </w:pPr>
      <w:r>
        <w:t xml:space="preserve">1.1 Objectivo da preparação para a auditoria</w:t>
      </w:r>
    </w:p>
    <w:p>
      <w:pPr>
        <w:pStyle w:val="FirstParagraph"/>
      </w:pPr>
      <w:r>
        <w:t xml:space="preserve">A disponibilidade de auditoria é a capacidade sustentada de demonstrar, com provas fiáveis e devidamente protegidas, que os controlos aplicáveis são concebidos, implementados e operacionais tal como representados. Não é um exercício de recolha de documentos de última hora e não é uma autorização para criar provas após o facto.</w:t>
      </w:r>
    </w:p>
    <w:p>
      <w:pPr>
        <w:pStyle w:val="BodyText"/>
      </w:pPr>
      <w:r>
        <w:t xml:space="preserve">Um programa de prontidão maduro ajuda a organização:</w:t>
      </w:r>
    </w:p>
    <w:p>
      <w:pPr>
        <w:numPr>
          <w:ilvl w:val="0"/>
          <w:numId w:val="1001"/>
        </w:numPr>
        <w:pStyle w:val="Compact"/>
      </w:pPr>
      <w:r>
        <w:t xml:space="preserve">Compreender os critérios e o âmbito de aplicação;</w:t>
      </w:r>
    </w:p>
    <w:p>
      <w:pPr>
        <w:numPr>
          <w:ilvl w:val="0"/>
          <w:numId w:val="1001"/>
        </w:numPr>
        <w:pStyle w:val="Compact"/>
      </w:pPr>
      <w:r>
        <w:t xml:space="preserve">Atribuir aos proprietários responsáveis pelo controlo;</w:t>
      </w:r>
    </w:p>
    <w:p>
      <w:pPr>
        <w:numPr>
          <w:ilvl w:val="0"/>
          <w:numId w:val="1001"/>
        </w:numPr>
        <w:pStyle w:val="Compact"/>
      </w:pPr>
      <w:r>
        <w:t xml:space="preserve">Identificar os controlos em falta, fracos ou inconsistentes antes de uma auditoria;</w:t>
      </w:r>
    </w:p>
    <w:p>
      <w:pPr>
        <w:numPr>
          <w:ilvl w:val="0"/>
          <w:numId w:val="1001"/>
        </w:numPr>
        <w:pStyle w:val="Compact"/>
      </w:pPr>
      <w:r>
        <w:t xml:space="preserve">Recolha de provas através de processos repetitivos;</w:t>
      </w:r>
    </w:p>
    <w:p>
      <w:pPr>
        <w:numPr>
          <w:ilvl w:val="0"/>
          <w:numId w:val="1001"/>
        </w:numPr>
        <w:pStyle w:val="Compact"/>
      </w:pPr>
      <w:r>
        <w:t xml:space="preserve">Distinguem as lacunas de implementação das lacunas de documentação;</w:t>
      </w:r>
    </w:p>
    <w:p>
      <w:pPr>
        <w:numPr>
          <w:ilvl w:val="0"/>
          <w:numId w:val="1001"/>
        </w:numPr>
        <w:pStyle w:val="Compact"/>
      </w:pPr>
      <w:r>
        <w:t xml:space="preserve">Responder com precisão aos avaliadores;</w:t>
      </w:r>
    </w:p>
    <w:p>
      <w:pPr>
        <w:numPr>
          <w:ilvl w:val="0"/>
          <w:numId w:val="1001"/>
        </w:numPr>
        <w:pStyle w:val="Compact"/>
      </w:pPr>
      <w:r>
        <w:t xml:space="preserve">resultados satisfatórios baseados na causa da raiz;</w:t>
      </w:r>
    </w:p>
    <w:p>
      <w:pPr>
        <w:numPr>
          <w:ilvl w:val="0"/>
          <w:numId w:val="1001"/>
        </w:numPr>
        <w:pStyle w:val="Compact"/>
      </w:pPr>
      <w:r>
        <w:t xml:space="preserve">Validar o funcionamento das ações corretivas; e</w:t>
      </w:r>
    </w:p>
    <w:p>
      <w:pPr>
        <w:numPr>
          <w:ilvl w:val="0"/>
          <w:numId w:val="1001"/>
        </w:numPr>
        <w:pStyle w:val="Compact"/>
      </w:pPr>
      <w:r>
        <w:t xml:space="preserve">Manter a prontidão entre as avaliações formais.</w:t>
      </w:r>
    </w:p>
    <w:bookmarkEnd w:id="21"/>
    <w:bookmarkStart w:id="28" w:name="princípios-de-preparação"/>
    <w:p>
      <w:pPr>
        <w:pStyle w:val="Heading2"/>
      </w:pPr>
      <w:r>
        <w:t xml:space="preserve">1.2 Princípios de preparação</w:t>
      </w:r>
    </w:p>
    <w:bookmarkStart w:id="22" w:name="precisão-sobre-a-aparência"/>
    <w:p>
      <w:pPr>
        <w:pStyle w:val="Heading3"/>
      </w:pPr>
      <w:r>
        <w:t xml:space="preserve">Precisão sobre a aparência</w:t>
      </w:r>
    </w:p>
    <w:p>
      <w:pPr>
        <w:pStyle w:val="FirstParagraph"/>
      </w:pPr>
      <w:r>
        <w:t xml:space="preserve">O objetivo é uma representação verdadeira do ambiente de controle. As equipes não devem alterar datas, fabricar aprovações, recriar registros históricos como se fossem contemporâneos, ocultar exceções, ou apresentar controles planejados como controles operacionais.</w:t>
      </w:r>
    </w:p>
    <w:bookmarkEnd w:id="22"/>
    <w:bookmarkStart w:id="23" w:name="critérios-de-rastreabilidade"/>
    <w:p>
      <w:pPr>
        <w:pStyle w:val="Heading3"/>
      </w:pPr>
      <w:r>
        <w:t xml:space="preserve">Critérios de rastreabilidade</w:t>
      </w:r>
    </w:p>
    <w:p>
      <w:pPr>
        <w:pStyle w:val="FirstParagraph"/>
      </w:pPr>
      <w:r>
        <w:t xml:space="preserve">Cada conclusão de prontidão deve identificar o requisito exato, declaração de controle, cláusula contratual, obrigação política ou critério de auditoria que está sendo avaliado. Quadros semelhantes podem usar diferentes definições, expectativas de evidência, períodos de teste e regras de amostragem.</w:t>
      </w:r>
    </w:p>
    <w:bookmarkEnd w:id="23"/>
    <w:bookmarkStart w:id="24" w:name="suficiência-e-adequação-das-provas"/>
    <w:p>
      <w:pPr>
        <w:pStyle w:val="Heading3"/>
      </w:pPr>
      <w:r>
        <w:t xml:space="preserve">suficiência e adequação das provas</w:t>
      </w:r>
    </w:p>
    <w:p>
      <w:pPr>
        <w:pStyle w:val="FirstParagraph"/>
      </w:pPr>
      <w:r>
        <w:t xml:space="preserve">As provas devem ser relevantes para o critério, completas o suficiente para apoiar a conclusão, atribuíveis a uma fonte fiável, atual para o período de reexame e protegidas de acordo com a sua sensibilidade.</w:t>
      </w:r>
    </w:p>
    <w:bookmarkEnd w:id="24"/>
    <w:bookmarkStart w:id="25" w:name="independência-e-desafio"/>
    <w:p>
      <w:pPr>
        <w:pStyle w:val="Heading3"/>
      </w:pPr>
      <w:r>
        <w:t xml:space="preserve">Independência e desafio</w:t>
      </w:r>
    </w:p>
    <w:p>
      <w:pPr>
        <w:pStyle w:val="FirstParagraph"/>
      </w:pPr>
      <w:r>
        <w:t xml:space="preserve">A autoavaliação é útil, mas pode ser tendenciosa. As avaliações de prontidão devem incluir um nível adequado de desafio independente, especialmente para controles de alto risco, achados recorrentes, afirmações de gestão e decisões de encerramento.</w:t>
      </w:r>
    </w:p>
    <w:bookmarkEnd w:id="25"/>
    <w:bookmarkStart w:id="26" w:name="priorização-baseada-no-risco"/>
    <w:p>
      <w:pPr>
        <w:pStyle w:val="Heading3"/>
      </w:pPr>
      <w:r>
        <w:t xml:space="preserve">Priorização baseada no risco</w:t>
      </w:r>
    </w:p>
    <w:p>
      <w:pPr>
        <w:pStyle w:val="FirstParagraph"/>
      </w:pPr>
      <w:r>
        <w:t xml:space="preserve">Nem todas as lacunas requerem atenção igual. Priorizar de acordo com potencial impacto, probabilidade, exposição regulatória ou contratual, dependência de controle, população afetada, recorrência e tempo necessário para remediar.</w:t>
      </w:r>
    </w:p>
    <w:bookmarkEnd w:id="26"/>
    <w:bookmarkStart w:id="27" w:name="correcção-sustentável"/>
    <w:p>
      <w:pPr>
        <w:pStyle w:val="Heading3"/>
      </w:pPr>
      <w:r>
        <w:t xml:space="preserve">Correcção sustentável</w:t>
      </w:r>
    </w:p>
    <w:p>
      <w:pPr>
        <w:pStyle w:val="FirstParagraph"/>
      </w:pPr>
      <w:r>
        <w:t xml:space="preserve">Um achado não é fechado apenas porque um documento foi produzido ou uma configuração foi alterada. O encerramento requer provas de que a acção correctiva aborda a causa raiz, foi implementada e funciona eficazmente durante um período adequado.</w:t>
      </w:r>
    </w:p>
    <w:bookmarkEnd w:id="27"/>
    <w:bookmarkEnd w:id="28"/>
    <w:bookmarkStart w:id="36" w:name="funções-de-governação"/>
    <w:p>
      <w:pPr>
        <w:pStyle w:val="Heading2"/>
      </w:pPr>
      <w:r>
        <w:t xml:space="preserve">1.3 Funções de governação</w:t>
      </w:r>
    </w:p>
    <w:bookmarkStart w:id="29" w:name="patrocinador-executivo"/>
    <w:p>
      <w:pPr>
        <w:pStyle w:val="Heading3"/>
      </w:pPr>
      <w:r>
        <w:t xml:space="preserve">Patrocinador executivo</w:t>
      </w:r>
    </w:p>
    <w:p>
      <w:pPr>
        <w:pStyle w:val="FirstParagraph"/>
      </w:pPr>
      <w:r>
        <w:t xml:space="preserve">O patrocinador executivo autoriza o programa de prontidão, resolve barreiras interfuncionais, garante a disponibilidade de recursos e recebe escalada de risco material.</w:t>
      </w:r>
    </w:p>
    <w:bookmarkEnd w:id="29"/>
    <w:bookmarkStart w:id="30" w:name="líder-do-programa-de-preparação"/>
    <w:p>
      <w:pPr>
        <w:pStyle w:val="Heading3"/>
      </w:pPr>
      <w:r>
        <w:t xml:space="preserve">Líder do programa de preparação</w:t>
      </w:r>
    </w:p>
    <w:p>
      <w:pPr>
        <w:pStyle w:val="FirstParagraph"/>
      </w:pPr>
      <w:r>
        <w:t xml:space="preserve">O líder do programa gerencia escopo, critérios, timelines, dependências, cadência de revisão, coordenação de evidências, escalada de problemas, relatórios e integração com atividades formais de auditoria.</w:t>
      </w:r>
    </w:p>
    <w:bookmarkEnd w:id="30"/>
    <w:bookmarkStart w:id="31" w:name="controlador"/>
    <w:p>
      <w:pPr>
        <w:pStyle w:val="Heading3"/>
      </w:pPr>
      <w:r>
        <w:t xml:space="preserve">Controlador</w:t>
      </w:r>
    </w:p>
    <w:p>
      <w:pPr>
        <w:pStyle w:val="FirstParagraph"/>
      </w:pPr>
      <w:r>
        <w:t xml:space="preserve">O proprietário do controle é responsável pelo projeto, implementação, evidência, exceções conhecidas, ações corretivas e respostas oportunas. A propriedade não pode ser delegada apenas pela atribuição de coleta de provas a outra pessoa.</w:t>
      </w:r>
    </w:p>
    <w:bookmarkEnd w:id="31"/>
    <w:bookmarkStart w:id="32" w:name="prestador-de-provas"/>
    <w:p>
      <w:pPr>
        <w:pStyle w:val="Heading3"/>
      </w:pPr>
      <w:r>
        <w:t xml:space="preserve">Prestador de provas</w:t>
      </w:r>
    </w:p>
    <w:p>
      <w:pPr>
        <w:pStyle w:val="FirstParagraph"/>
      </w:pPr>
      <w:r>
        <w:t xml:space="preserve">O provedor de evidências recupera registros aprovados de sistemas autoritários, documentos de proveniência e período de tempo, protege informações sensíveis e evita interpretação não suportada.</w:t>
      </w:r>
    </w:p>
    <w:bookmarkEnd w:id="32"/>
    <w:bookmarkStart w:id="33" w:name="revisor-ou-avaliador-de-prontidão"/>
    <w:p>
      <w:pPr>
        <w:pStyle w:val="Heading3"/>
      </w:pPr>
      <w:r>
        <w:t xml:space="preserve">Revisor ou avaliador de prontidão</w:t>
      </w:r>
    </w:p>
    <w:p>
      <w:pPr>
        <w:pStyle w:val="FirstParagraph"/>
      </w:pPr>
      <w:r>
        <w:t xml:space="preserve">O revisor avalia o desenho e as evidências operacionais contra critérios definidos, procedimentos documentais realizados, limitações de registros e distingue observações de achados fundamentados.</w:t>
      </w:r>
    </w:p>
    <w:bookmarkEnd w:id="33"/>
    <w:bookmarkStart w:id="34" w:name="procura-do-proprietário"/>
    <w:p>
      <w:pPr>
        <w:pStyle w:val="Heading3"/>
      </w:pPr>
      <w:r>
        <w:t xml:space="preserve">Procura do proprietário</w:t>
      </w:r>
    </w:p>
    <w:p>
      <w:pPr>
        <w:pStyle w:val="FirstParagraph"/>
      </w:pPr>
      <w:r>
        <w:t xml:space="preserve">O proprietário do achado coordena análise de causa raiz, planejamento de ação corretiva, marcos, dependências, evidências de validação e solicitações de fechamento.</w:t>
      </w:r>
    </w:p>
    <w:bookmarkEnd w:id="34"/>
    <w:bookmarkStart w:id="35" w:name="aceitador-de-risco"/>
    <w:p>
      <w:pPr>
        <w:pStyle w:val="Heading3"/>
      </w:pPr>
      <w:r>
        <w:t xml:space="preserve">Aceitador de risco</w:t>
      </w:r>
    </w:p>
    <w:p>
      <w:pPr>
        <w:pStyle w:val="FirstParagraph"/>
      </w:pPr>
      <w:r>
        <w:t xml:space="preserve">O aceitante de risco autorizado pode aprovar uma exceção temporária ou um risco residual dentro da autoridade delegada. A aceitação não deve ser utilizada para disfarçar o incumprimento de obrigações que não podem ser legalmente ou contratualmente dispensadas.</w:t>
      </w:r>
    </w:p>
    <w:bookmarkEnd w:id="35"/>
    <w:bookmarkEnd w:id="36"/>
    <w:bookmarkStart w:id="37" w:name="carta-de-preparação"/>
    <w:p>
      <w:pPr>
        <w:pStyle w:val="Heading2"/>
      </w:pPr>
      <w:r>
        <w:t xml:space="preserve">1.4 Carta de preparação</w:t>
      </w:r>
    </w:p>
    <w:p>
      <w:pPr>
        <w:pStyle w:val="FirstParagraph"/>
      </w:pPr>
      <w:r>
        <w:t xml:space="preserve">Uma carta de preparação deverá definir:</w:t>
      </w:r>
    </w:p>
    <w:p>
      <w:pPr>
        <w:numPr>
          <w:ilvl w:val="0"/>
          <w:numId w:val="1002"/>
        </w:numPr>
        <w:pStyle w:val="Compact"/>
      </w:pPr>
      <w:r>
        <w:t xml:space="preserve">objetivos e resultados esperados;</w:t>
      </w:r>
    </w:p>
    <w:p>
      <w:pPr>
        <w:numPr>
          <w:ilvl w:val="0"/>
          <w:numId w:val="1002"/>
        </w:numPr>
        <w:pStyle w:val="Compact"/>
      </w:pPr>
      <w:r>
        <w:t xml:space="preserve">Quadros, normas, regulamentos, contratos e políticas de âmbito;</w:t>
      </w:r>
    </w:p>
    <w:p>
      <w:pPr>
        <w:numPr>
          <w:ilvl w:val="0"/>
          <w:numId w:val="1002"/>
        </w:numPr>
        <w:pStyle w:val="Compact"/>
      </w:pPr>
      <w:r>
        <w:t xml:space="preserve">Sistemas, locais, processos, entidades, dados e períodos de tempo em âmbito;</w:t>
      </w:r>
    </w:p>
    <w:p>
      <w:pPr>
        <w:numPr>
          <w:ilvl w:val="0"/>
          <w:numId w:val="1002"/>
        </w:numPr>
        <w:pStyle w:val="Compact"/>
      </w:pPr>
      <w:r>
        <w:t xml:space="preserve">Funções de governação e direitos de decisão;</w:t>
      </w:r>
    </w:p>
    <w:p>
      <w:pPr>
        <w:numPr>
          <w:ilvl w:val="0"/>
          <w:numId w:val="1002"/>
        </w:numPr>
        <w:pStyle w:val="Compact"/>
      </w:pPr>
      <w:r>
        <w:t xml:space="preserve">expectativas de independência;</w:t>
      </w:r>
    </w:p>
    <w:p>
      <w:pPr>
        <w:numPr>
          <w:ilvl w:val="0"/>
          <w:numId w:val="1002"/>
        </w:numPr>
        <w:pStyle w:val="Compact"/>
      </w:pPr>
      <w:r>
        <w:t xml:space="preserve">O tratamento de provas e os requisitos de confidencialidade;</w:t>
      </w:r>
    </w:p>
    <w:p>
      <w:pPr>
        <w:numPr>
          <w:ilvl w:val="0"/>
          <w:numId w:val="1002"/>
        </w:numPr>
        <w:pStyle w:val="Compact"/>
      </w:pPr>
      <w:r>
        <w:t xml:space="preserve">regras de gravidade e escalada;</w:t>
      </w:r>
    </w:p>
    <w:p>
      <w:pPr>
        <w:numPr>
          <w:ilvl w:val="0"/>
          <w:numId w:val="1002"/>
        </w:numPr>
        <w:pStyle w:val="Compact"/>
      </w:pPr>
      <w:r>
        <w:t xml:space="preserve">Cadência de notificação;</w:t>
      </w:r>
    </w:p>
    <w:p>
      <w:pPr>
        <w:numPr>
          <w:ilvl w:val="0"/>
          <w:numId w:val="1002"/>
        </w:numPr>
        <w:pStyle w:val="Compact"/>
      </w:pPr>
      <w:r>
        <w:t xml:space="preserve">Autoridade de reparação e encerramento;</w:t>
      </w:r>
    </w:p>
    <w:p>
      <w:pPr>
        <w:numPr>
          <w:ilvl w:val="0"/>
          <w:numId w:val="1002"/>
        </w:numPr>
        <w:pStyle w:val="Compact"/>
      </w:pPr>
      <w:r>
        <w:t xml:space="preserve">Requisitos em matéria de garantia da qualidade; e</w:t>
      </w:r>
    </w:p>
    <w:p>
      <w:pPr>
        <w:numPr>
          <w:ilvl w:val="0"/>
          <w:numId w:val="1002"/>
        </w:numPr>
        <w:pStyle w:val="Compact"/>
      </w:pPr>
      <w:r>
        <w:t xml:space="preserve">limitações e exclusões.</w:t>
      </w:r>
    </w:p>
    <w:bookmarkEnd w:id="37"/>
    <w:bookmarkStart w:id="38" w:name="universo-e-âmbito-de-avaliação"/>
    <w:p>
      <w:pPr>
        <w:pStyle w:val="Heading2"/>
      </w:pPr>
      <w:r>
        <w:t xml:space="preserve">1.5 Universo e âmbito de avaliação</w:t>
      </w:r>
    </w:p>
    <w:p>
      <w:pPr>
        <w:pStyle w:val="FirstParagraph"/>
      </w:pPr>
      <w:r>
        <w:t xml:space="preserve">Manter um universo de avaliação que identifique potenciais entidades auditáveis, como processos de negócios, sistemas, produtos, locais, fornecedores, entidades jurídicas e domínios de controle. Utilizar riscos, conclusões anteriores, mudanças materiais, incidentes, compromissos regulamentares e ciclos de auditoria para determinar prioridades de prontidão.</w:t>
      </w:r>
    </w:p>
    <w:p>
      <w:pPr>
        <w:pStyle w:val="BodyText"/>
      </w:pPr>
      <w:r>
        <w:t xml:space="preserve">Para cada engajamento, documento:</w:t>
      </w:r>
    </w:p>
    <w:p>
      <w:pPr>
        <w:numPr>
          <w:ilvl w:val="0"/>
          <w:numId w:val="1003"/>
        </w:numPr>
        <w:pStyle w:val="Compact"/>
      </w:pPr>
      <w:r>
        <w:t xml:space="preserve">Objectivo;</w:t>
      </w:r>
    </w:p>
    <w:p>
      <w:pPr>
        <w:numPr>
          <w:ilvl w:val="0"/>
          <w:numId w:val="1003"/>
        </w:numPr>
        <w:pStyle w:val="Compact"/>
      </w:pPr>
      <w:r>
        <w:t xml:space="preserve">Critérios e versões exactas;</w:t>
      </w:r>
    </w:p>
    <w:p>
      <w:pPr>
        <w:numPr>
          <w:ilvl w:val="0"/>
          <w:numId w:val="1003"/>
        </w:numPr>
        <w:pStyle w:val="Compact"/>
      </w:pPr>
      <w:r>
        <w:t xml:space="preserve">Limites de âmbito;</w:t>
      </w:r>
    </w:p>
    <w:p>
      <w:pPr>
        <w:numPr>
          <w:ilvl w:val="0"/>
          <w:numId w:val="1003"/>
        </w:numPr>
        <w:pStyle w:val="Compact"/>
      </w:pPr>
      <w:r>
        <w:t xml:space="preserve">período de revisão;</w:t>
      </w:r>
    </w:p>
    <w:p>
      <w:pPr>
        <w:numPr>
          <w:ilvl w:val="0"/>
          <w:numId w:val="1003"/>
        </w:numPr>
        <w:pStyle w:val="Compact"/>
      </w:pPr>
      <w:r>
        <w:t xml:space="preserve">Populações e sistemas de registo;</w:t>
      </w:r>
    </w:p>
    <w:p>
      <w:pPr>
        <w:numPr>
          <w:ilvl w:val="0"/>
          <w:numId w:val="1003"/>
        </w:numPr>
        <w:pStyle w:val="Compact"/>
      </w:pPr>
      <w:r>
        <w:t xml:space="preserve">Exclusões e lógicas;</w:t>
      </w:r>
    </w:p>
    <w:p>
      <w:pPr>
        <w:numPr>
          <w:ilvl w:val="0"/>
          <w:numId w:val="1003"/>
        </w:numPr>
        <w:pStyle w:val="Compact"/>
      </w:pPr>
      <w:r>
        <w:t xml:space="preserve">Dependências e controlos herdados;</w:t>
      </w:r>
    </w:p>
    <w:p>
      <w:pPr>
        <w:numPr>
          <w:ilvl w:val="0"/>
          <w:numId w:val="1003"/>
        </w:numPr>
        <w:pStyle w:val="Compact"/>
      </w:pPr>
      <w:r>
        <w:t xml:space="preserve">Abordagem de amostragem;</w:t>
      </w:r>
    </w:p>
    <w:p>
      <w:pPr>
        <w:numPr>
          <w:ilvl w:val="0"/>
          <w:numId w:val="1003"/>
        </w:numPr>
        <w:pStyle w:val="Compact"/>
      </w:pPr>
      <w:r>
        <w:t xml:space="preserve">Procedimentos previstos;</w:t>
      </w:r>
    </w:p>
    <w:p>
      <w:pPr>
        <w:numPr>
          <w:ilvl w:val="0"/>
          <w:numId w:val="1003"/>
        </w:numPr>
        <w:pStyle w:val="Compact"/>
      </w:pPr>
      <w:r>
        <w:t xml:space="preserve">As partes interessadas;</w:t>
      </w:r>
    </w:p>
    <w:p>
      <w:pPr>
        <w:numPr>
          <w:ilvl w:val="0"/>
          <w:numId w:val="1003"/>
        </w:numPr>
        <w:pStyle w:val="Compact"/>
      </w:pPr>
      <w:r>
        <w:t xml:space="preserve">Os marcos; e</w:t>
      </w:r>
    </w:p>
    <w:p>
      <w:pPr>
        <w:numPr>
          <w:ilvl w:val="0"/>
          <w:numId w:val="1003"/>
        </w:numPr>
        <w:pStyle w:val="Compact"/>
      </w:pPr>
      <w:r>
        <w:t xml:space="preserve">limitações conhecidas.</w:t>
      </w:r>
    </w:p>
    <w:bookmarkEnd w:id="38"/>
    <w:bookmarkStart w:id="39" w:name="ciclo-de-vida-de-preparação"/>
    <w:p>
      <w:pPr>
        <w:pStyle w:val="Heading2"/>
      </w:pPr>
      <w:r>
        <w:t xml:space="preserve">1.6 Ciclo de vida de preparação</w:t>
      </w:r>
    </w:p>
    <w:p>
      <w:pPr>
        <w:pStyle w:val="FirstParagraph"/>
      </w:pPr>
      <w:r>
        <w:t xml:space="preserve">Um ciclo de vida de prontidão controlado inclui normalmente:</w:t>
      </w:r>
    </w:p>
    <w:p>
      <w:pPr>
        <w:numPr>
          <w:ilvl w:val="0"/>
          <w:numId w:val="1004"/>
        </w:numPr>
        <w:pStyle w:val="Compact"/>
      </w:pPr>
      <w:r>
        <w:t xml:space="preserve">Autorizar e definir o compromisso;</w:t>
      </w:r>
    </w:p>
    <w:p>
      <w:pPr>
        <w:numPr>
          <w:ilvl w:val="0"/>
          <w:numId w:val="1004"/>
        </w:numPr>
        <w:pStyle w:val="Compact"/>
      </w:pPr>
      <w:r>
        <w:t xml:space="preserve">Confirmar critérios e âmbito de aplicação;</w:t>
      </w:r>
    </w:p>
    <w:p>
      <w:pPr>
        <w:numPr>
          <w:ilvl w:val="0"/>
          <w:numId w:val="1004"/>
        </w:numPr>
        <w:pStyle w:val="Compact"/>
      </w:pPr>
      <w:r>
        <w:t xml:space="preserve">Controlos de mapas e proprietários;</w:t>
      </w:r>
    </w:p>
    <w:p>
      <w:pPr>
        <w:numPr>
          <w:ilvl w:val="0"/>
          <w:numId w:val="1004"/>
        </w:numPr>
        <w:pStyle w:val="Compact"/>
      </w:pPr>
      <w:r>
        <w:t xml:space="preserve">Recolha de documentação e elementos de prova existentes;</w:t>
      </w:r>
    </w:p>
    <w:p>
      <w:pPr>
        <w:numPr>
          <w:ilvl w:val="0"/>
          <w:numId w:val="1004"/>
        </w:numPr>
        <w:pStyle w:val="Compact"/>
      </w:pPr>
      <w:r>
        <w:t xml:space="preserve">Realizar uma revisão do projecto;</w:t>
      </w:r>
    </w:p>
    <w:p>
      <w:pPr>
        <w:numPr>
          <w:ilvl w:val="0"/>
          <w:numId w:val="1004"/>
        </w:numPr>
        <w:pStyle w:val="Compact"/>
      </w:pPr>
      <w:r>
        <w:t xml:space="preserve">Realizar uma revisão da eficácia operacional;</w:t>
      </w:r>
    </w:p>
    <w:p>
      <w:pPr>
        <w:numPr>
          <w:ilvl w:val="0"/>
          <w:numId w:val="1004"/>
        </w:numPr>
        <w:pStyle w:val="Compact"/>
      </w:pPr>
      <w:r>
        <w:t xml:space="preserve">Documentos sobre lacunas, observações e conclusões;</w:t>
      </w:r>
    </w:p>
    <w:p>
      <w:pPr>
        <w:numPr>
          <w:ilvl w:val="0"/>
          <w:numId w:val="1004"/>
        </w:numPr>
        <w:pStyle w:val="Compact"/>
      </w:pPr>
      <w:r>
        <w:t xml:space="preserve">Priorizar e atribuir ações corretivas;</w:t>
      </w:r>
    </w:p>
    <w:p>
      <w:pPr>
        <w:numPr>
          <w:ilvl w:val="0"/>
          <w:numId w:val="1004"/>
        </w:numPr>
        <w:pStyle w:val="Compact"/>
      </w:pPr>
      <w:r>
        <w:t xml:space="preserve">Monitorização da reparação;</w:t>
      </w:r>
    </w:p>
    <w:p>
      <w:pPr>
        <w:numPr>
          <w:ilvl w:val="0"/>
          <w:numId w:val="1004"/>
        </w:numPr>
        <w:pStyle w:val="Compact"/>
      </w:pPr>
      <w:r>
        <w:t xml:space="preserve">Validar a implementação e o funcionamento sustentado;</w:t>
      </w:r>
    </w:p>
    <w:p>
      <w:pPr>
        <w:numPr>
          <w:ilvl w:val="0"/>
          <w:numId w:val="1004"/>
        </w:numPr>
        <w:pStyle w:val="Compact"/>
      </w:pPr>
      <w:r>
        <w:t xml:space="preserve">aprovar o encerramento ou o tratamento de risco;</w:t>
      </w:r>
    </w:p>
    <w:p>
      <w:pPr>
        <w:numPr>
          <w:ilvl w:val="0"/>
          <w:numId w:val="1004"/>
        </w:numPr>
        <w:pStyle w:val="Compact"/>
      </w:pPr>
      <w:r>
        <w:t xml:space="preserve">Preparar a gestão e as comunicações dos avaliadores; e</w:t>
      </w:r>
    </w:p>
    <w:p>
      <w:pPr>
        <w:numPr>
          <w:ilvl w:val="0"/>
          <w:numId w:val="1004"/>
        </w:numPr>
        <w:pStyle w:val="Compact"/>
      </w:pPr>
      <w:r>
        <w:t xml:space="preserve">Dar lições de acompanhamento contínuo e planeamento futuro.</w:t>
      </w:r>
    </w:p>
    <w:bookmarkEnd w:id="39"/>
    <w:bookmarkStart w:id="40" w:name="pronto-não-igual-certificação"/>
    <w:p>
      <w:pPr>
        <w:pStyle w:val="Heading2"/>
      </w:pPr>
      <w:r>
        <w:t xml:space="preserve">1.7 Pronto não igual certificação</w:t>
      </w:r>
    </w:p>
    <w:p>
      <w:pPr>
        <w:pStyle w:val="FirstParagraph"/>
      </w:pPr>
      <w:r>
        <w:t xml:space="preserve">Uma análise de prontidão interna bem-sucedida não garante uma auditoria limpa, certificação, resultado regulatório ou aceitação do cliente. Os avaliadores externos podem aplicar diferentes amostragem, julgamento profissional, materialidade, expectativas de evidência ou interpretações. Portanto, os resultados de prontidão devem ser descritos com precisão e sem garantias.</w:t>
      </w:r>
    </w:p>
    <w:bookmarkEnd w:id="40"/>
    <w:bookmarkEnd w:id="41"/>
    <w:bookmarkStart w:id="50" w:name="Xf2889a2cb40c417ae1936f51f6e9a3d20d86e46"/>
    <w:p>
      <w:pPr>
        <w:pStyle w:val="Heading1"/>
      </w:pPr>
      <w:r>
        <w:t xml:space="preserve">Capítulo 2 — Avaliação do controlo do mapeamento e da preparação</w:t>
      </w:r>
    </w:p>
    <w:bookmarkStart w:id="42" w:name="Xb36ea3b2764ed42469286a926be9b1f09b08031"/>
    <w:p>
      <w:pPr>
        <w:pStyle w:val="Heading2"/>
      </w:pPr>
      <w:r>
        <w:t xml:space="preserve">2.1 Construir um mapa de critérios para controlar</w:t>
      </w:r>
    </w:p>
    <w:p>
      <w:pPr>
        <w:pStyle w:val="FirstParagraph"/>
      </w:pPr>
      <w:r>
        <w:t xml:space="preserve">Uma revisão de prontidão começa com a rastreabilidade. Mapeie cada critério aplicável ao controle, proprietário, processo, sistema, fonte de evidência, frequência, população, dependência e procedimento de avaliação da organização. Não assumir que um controle satisfaz cada exigência superficialmente semelhante.</w:t>
      </w:r>
    </w:p>
    <w:p>
      <w:pPr>
        <w:pStyle w:val="BodyText"/>
      </w:pPr>
      <w:r>
        <w:t xml:space="preserve">O mapeamento deve identificar:</w:t>
      </w:r>
    </w:p>
    <w:p>
      <w:pPr>
        <w:numPr>
          <w:ilvl w:val="0"/>
          <w:numId w:val="1005"/>
        </w:numPr>
        <w:pStyle w:val="Compact"/>
      </w:pPr>
      <w:r>
        <w:t xml:space="preserve">Identificador do critério e versão exacta da fonte;</w:t>
      </w:r>
    </w:p>
    <w:p>
      <w:pPr>
        <w:numPr>
          <w:ilvl w:val="0"/>
          <w:numId w:val="1005"/>
        </w:numPr>
        <w:pStyle w:val="Compact"/>
      </w:pPr>
      <w:r>
        <w:t xml:space="preserve">Resumo dos requisitos em linguagem organizacional original;</w:t>
      </w:r>
    </w:p>
    <w:p>
      <w:pPr>
        <w:numPr>
          <w:ilvl w:val="0"/>
          <w:numId w:val="1005"/>
        </w:numPr>
        <w:pStyle w:val="Compact"/>
      </w:pPr>
      <w:r>
        <w:t xml:space="preserve">Identificador de controlo e objectivo de controlo;</w:t>
      </w:r>
    </w:p>
    <w:p>
      <w:pPr>
        <w:numPr>
          <w:ilvl w:val="0"/>
          <w:numId w:val="1005"/>
        </w:numPr>
        <w:pStyle w:val="Compact"/>
      </w:pPr>
      <w:r>
        <w:t xml:space="preserve">O proprietário e o operador do controlo;</w:t>
      </w:r>
    </w:p>
    <w:p>
      <w:pPr>
        <w:numPr>
          <w:ilvl w:val="0"/>
          <w:numId w:val="1005"/>
        </w:numPr>
        <w:pStyle w:val="Compact"/>
      </w:pPr>
      <w:r>
        <w:t xml:space="preserve">Sistemas, processos, localizações e populações abrangidas;</w:t>
      </w:r>
    </w:p>
    <w:p>
      <w:pPr>
        <w:numPr>
          <w:ilvl w:val="0"/>
          <w:numId w:val="1005"/>
        </w:numPr>
        <w:pStyle w:val="Compact"/>
      </w:pPr>
      <w:r>
        <w:t xml:space="preserve">caráter preventivo, detetive, corretivo ou diretivo;</w:t>
      </w:r>
    </w:p>
    <w:p>
      <w:pPr>
        <w:numPr>
          <w:ilvl w:val="0"/>
          <w:numId w:val="1005"/>
        </w:numPr>
        <w:pStyle w:val="Compact"/>
      </w:pPr>
      <w:r>
        <w:t xml:space="preserve">Operação manual, automatizada ou híbrida;</w:t>
      </w:r>
    </w:p>
    <w:p>
      <w:pPr>
        <w:numPr>
          <w:ilvl w:val="0"/>
          <w:numId w:val="1005"/>
        </w:numPr>
        <w:pStyle w:val="Compact"/>
      </w:pPr>
      <w:r>
        <w:t xml:space="preserve">Frequência de funcionamento;</w:t>
      </w:r>
    </w:p>
    <w:p>
      <w:pPr>
        <w:numPr>
          <w:ilvl w:val="0"/>
          <w:numId w:val="1005"/>
        </w:numPr>
        <w:pStyle w:val="Compact"/>
      </w:pPr>
      <w:r>
        <w:t xml:space="preserve">Fonte de provas e local de retenção;</w:t>
      </w:r>
    </w:p>
    <w:p>
      <w:pPr>
        <w:numPr>
          <w:ilvl w:val="0"/>
          <w:numId w:val="1005"/>
        </w:numPr>
        <w:pStyle w:val="Compact"/>
      </w:pPr>
      <w:r>
        <w:t xml:space="preserve">Dependências herdadas ou de controlo partilhado;</w:t>
      </w:r>
    </w:p>
    <w:p>
      <w:pPr>
        <w:numPr>
          <w:ilvl w:val="0"/>
          <w:numId w:val="1005"/>
        </w:numPr>
        <w:pStyle w:val="Compact"/>
      </w:pPr>
      <w:r>
        <w:t xml:space="preserve">Procedimentos de exame, entrevista e teste planejados;</w:t>
      </w:r>
    </w:p>
    <w:p>
      <w:pPr>
        <w:numPr>
          <w:ilvl w:val="0"/>
          <w:numId w:val="1005"/>
        </w:numPr>
        <w:pStyle w:val="Compact"/>
      </w:pPr>
      <w:r>
        <w:t xml:space="preserve">Excepções conhecidas; e</w:t>
      </w:r>
    </w:p>
    <w:p>
      <w:pPr>
        <w:numPr>
          <w:ilvl w:val="0"/>
          <w:numId w:val="1005"/>
        </w:numPr>
        <w:pStyle w:val="Compact"/>
      </w:pPr>
      <w:r>
        <w:t xml:space="preserve">estado de prontidão.</w:t>
      </w:r>
    </w:p>
    <w:bookmarkEnd w:id="42"/>
    <w:bookmarkStart w:id="43" w:name="avaliar-o-projeto-de-controle"/>
    <w:p>
      <w:pPr>
        <w:pStyle w:val="Heading2"/>
      </w:pPr>
      <w:r>
        <w:t xml:space="preserve">2.2 Avaliar o projeto de controle</w:t>
      </w:r>
    </w:p>
    <w:p>
      <w:pPr>
        <w:pStyle w:val="FirstParagraph"/>
      </w:pPr>
      <w:r>
        <w:t xml:space="preserve">Uma revisão de projeto pergunta se o controle, se realizado como descrito, poderia razoavelmente alcançar seu objetivo. Avaliar se:</w:t>
      </w:r>
    </w:p>
    <w:p>
      <w:pPr>
        <w:numPr>
          <w:ilvl w:val="0"/>
          <w:numId w:val="1006"/>
        </w:numPr>
        <w:pStyle w:val="Compact"/>
      </w:pPr>
      <w:r>
        <w:t xml:space="preserve">O objetivo de controlo está alinhado com o critério e o risco;</w:t>
      </w:r>
    </w:p>
    <w:p>
      <w:pPr>
        <w:numPr>
          <w:ilvl w:val="0"/>
          <w:numId w:val="1006"/>
        </w:numPr>
        <w:pStyle w:val="Compact"/>
      </w:pPr>
      <w:r>
        <w:t xml:space="preserve">O controlo aborda a população e o âmbito correctos;</w:t>
      </w:r>
    </w:p>
    <w:p>
      <w:pPr>
        <w:numPr>
          <w:ilvl w:val="0"/>
          <w:numId w:val="1006"/>
        </w:numPr>
        <w:pStyle w:val="Compact"/>
      </w:pPr>
      <w:r>
        <w:t xml:space="preserve">A responsabilidade e a autoridade são claras;</w:t>
      </w:r>
    </w:p>
    <w:p>
      <w:pPr>
        <w:numPr>
          <w:ilvl w:val="0"/>
          <w:numId w:val="1006"/>
        </w:numPr>
        <w:pStyle w:val="Compact"/>
      </w:pPr>
      <w:r>
        <w:t xml:space="preserve">O calendário e a frequência são adequados;</w:t>
      </w:r>
    </w:p>
    <w:p>
      <w:pPr>
        <w:numPr>
          <w:ilvl w:val="0"/>
          <w:numId w:val="1006"/>
        </w:numPr>
        <w:pStyle w:val="Compact"/>
      </w:pPr>
      <w:r>
        <w:t xml:space="preserve">Os inputs necessários são fiáveis e completos;</w:t>
      </w:r>
    </w:p>
    <w:p>
      <w:pPr>
        <w:numPr>
          <w:ilvl w:val="0"/>
          <w:numId w:val="1006"/>
        </w:numPr>
        <w:pStyle w:val="Compact"/>
      </w:pPr>
      <w:r>
        <w:t xml:space="preserve">São definidas regras e limiares de decisão;</w:t>
      </w:r>
    </w:p>
    <w:p>
      <w:pPr>
        <w:numPr>
          <w:ilvl w:val="0"/>
          <w:numId w:val="1006"/>
        </w:numPr>
        <w:pStyle w:val="Compact"/>
      </w:pPr>
      <w:r>
        <w:t xml:space="preserve">As excepções são identificadas e agravadas;</w:t>
      </w:r>
    </w:p>
    <w:p>
      <w:pPr>
        <w:numPr>
          <w:ilvl w:val="0"/>
          <w:numId w:val="1006"/>
        </w:numPr>
        <w:pStyle w:val="Compact"/>
      </w:pPr>
      <w:r>
        <w:t xml:space="preserve">Os elementos de prova são conservados;</w:t>
      </w:r>
    </w:p>
    <w:p>
      <w:pPr>
        <w:numPr>
          <w:ilvl w:val="0"/>
          <w:numId w:val="1006"/>
        </w:numPr>
        <w:pStyle w:val="Compact"/>
      </w:pPr>
      <w:r>
        <w:t xml:space="preserve">As dependências são compreendidas; e</w:t>
      </w:r>
    </w:p>
    <w:p>
      <w:pPr>
        <w:numPr>
          <w:ilvl w:val="0"/>
          <w:numId w:val="1006"/>
        </w:numPr>
        <w:pStyle w:val="Compact"/>
      </w:pPr>
      <w:r>
        <w:t xml:space="preserve">o controle é documentado consistentemente com a prática real.</w:t>
      </w:r>
    </w:p>
    <w:p>
      <w:pPr>
        <w:pStyle w:val="FirstParagraph"/>
      </w:pPr>
      <w:r>
        <w:t xml:space="preserve">Um controle pode ser documentado mas mal projetado. Também pode operar informalmente, mas carece de definição, propriedade ou evidência suficientes para apoiar o desempenho repetível.</w:t>
      </w:r>
    </w:p>
    <w:bookmarkEnd w:id="43"/>
    <w:bookmarkStart w:id="44" w:name="avaliar-a-implementação"/>
    <w:p>
      <w:pPr>
        <w:pStyle w:val="Heading2"/>
      </w:pPr>
      <w:r>
        <w:t xml:space="preserve">2.3 Avaliar a implementação</w:t>
      </w:r>
    </w:p>
    <w:p>
      <w:pPr>
        <w:pStyle w:val="FirstParagraph"/>
      </w:pPr>
      <w:r>
        <w:t xml:space="preserve">A revisão da execução confirma que o controlo concebido foi efectivamente colocado em funcionamento. Procure procedimentos aprovados, sistemas configurados, funções atribuídas, treinamento completo, registro habilitado, rotinas de revisão estabelecidas e registros operacionais iniciais.</w:t>
      </w:r>
    </w:p>
    <w:p>
      <w:pPr>
        <w:pStyle w:val="BodyText"/>
      </w:pPr>
      <w:r>
        <w:t xml:space="preserve">Não rotule um controle implementado quando ele permanece planejado, parcialmente implantado, limitado a um piloto, inativo para parte do escopo, ou dependente de um terceiro não verificado.</w:t>
      </w:r>
    </w:p>
    <w:bookmarkEnd w:id="44"/>
    <w:bookmarkStart w:id="45" w:name="avaliar-a-eficácia-operacional"/>
    <w:p>
      <w:pPr>
        <w:pStyle w:val="Heading2"/>
      </w:pPr>
      <w:r>
        <w:t xml:space="preserve">2.4 Avaliar a eficácia operacional</w:t>
      </w:r>
    </w:p>
    <w:p>
      <w:pPr>
        <w:pStyle w:val="FirstParagraph"/>
      </w:pPr>
      <w:r>
        <w:t xml:space="preserve">Os testes de eficácia operacional perguntam se o controlo funcionou de forma consistente e se obteve o resultado pretendido durante o período de análise. Os procedimentos podem incluir:</w:t>
      </w:r>
    </w:p>
    <w:p>
      <w:pPr>
        <w:numPr>
          <w:ilvl w:val="0"/>
          <w:numId w:val="1007"/>
        </w:numPr>
        <w:pStyle w:val="Compact"/>
      </w:pPr>
      <w:r>
        <w:t xml:space="preserve">Examinar políticas, bilhetes, registos, relatórios, aprovações, configurações e registos do sistema;</w:t>
      </w:r>
    </w:p>
    <w:p>
      <w:pPr>
        <w:numPr>
          <w:ilvl w:val="0"/>
          <w:numId w:val="1007"/>
        </w:numPr>
        <w:pStyle w:val="Compact"/>
      </w:pPr>
      <w:r>
        <w:t xml:space="preserve">entrevistar proprietários, operadores, revisores e pessoal afetado;</w:t>
      </w:r>
    </w:p>
    <w:p>
      <w:pPr>
        <w:numPr>
          <w:ilvl w:val="0"/>
          <w:numId w:val="1007"/>
        </w:numPr>
        <w:pStyle w:val="Compact"/>
      </w:pPr>
      <w:r>
        <w:t xml:space="preserve">observação do desempenho do controlo;</w:t>
      </w:r>
    </w:p>
    <w:p>
      <w:pPr>
        <w:numPr>
          <w:ilvl w:val="0"/>
          <w:numId w:val="1007"/>
        </w:numPr>
        <w:pStyle w:val="Compact"/>
      </w:pPr>
      <w:r>
        <w:t xml:space="preserve">Repercussão;</w:t>
      </w:r>
    </w:p>
    <w:p>
      <w:pPr>
        <w:numPr>
          <w:ilvl w:val="0"/>
          <w:numId w:val="1007"/>
        </w:numPr>
        <w:pStyle w:val="Compact"/>
      </w:pPr>
      <w:r>
        <w:t xml:space="preserve">Inspecção de configuração;</w:t>
      </w:r>
    </w:p>
    <w:p>
      <w:pPr>
        <w:numPr>
          <w:ilvl w:val="0"/>
          <w:numId w:val="1007"/>
        </w:numPr>
        <w:pStyle w:val="Compact"/>
      </w:pPr>
      <w:r>
        <w:t xml:space="preserve">Análise dos dados;</w:t>
      </w:r>
    </w:p>
    <w:p>
      <w:pPr>
        <w:numPr>
          <w:ilvl w:val="0"/>
          <w:numId w:val="1007"/>
        </w:numPr>
        <w:pStyle w:val="Compact"/>
      </w:pPr>
      <w:r>
        <w:t xml:space="preserve">Reconciliação da população; e</w:t>
      </w:r>
    </w:p>
    <w:p>
      <w:pPr>
        <w:numPr>
          <w:ilvl w:val="0"/>
          <w:numId w:val="1007"/>
        </w:numPr>
        <w:pStyle w:val="Compact"/>
      </w:pPr>
      <w:r>
        <w:t xml:space="preserve">Testes de amostras.</w:t>
      </w:r>
    </w:p>
    <w:p>
      <w:pPr>
        <w:pStyle w:val="FirstParagraph"/>
      </w:pPr>
      <w:r>
        <w:t xml:space="preserve">O procedimento, a população, a seleção da amostra, as exceções, as limitações e a conclusão devem ser registrados com clareza suficiente para que um revisor informado compreenda o que foi feito.</w:t>
      </w:r>
    </w:p>
    <w:bookmarkEnd w:id="45"/>
    <w:bookmarkStart w:id="46" w:name="modelo-de-estado-de-prontidão"/>
    <w:p>
      <w:pPr>
        <w:pStyle w:val="Heading2"/>
      </w:pPr>
      <w:r>
        <w:t xml:space="preserve">2.5 Modelo de estado de prontidão</w:t>
      </w:r>
    </w:p>
    <w:p>
      <w:pPr>
        <w:pStyle w:val="FirstParagraph"/>
      </w:pPr>
      <w:r>
        <w:t xml:space="preserve">Use um modelo de estado definido. Um modelo prático é:</w:t>
      </w:r>
    </w:p>
    <w:p>
      <w:pPr>
        <w:numPr>
          <w:ilvl w:val="0"/>
          <w:numId w:val="1008"/>
        </w:numPr>
        <w:pStyle w:val="Compact"/>
      </w:pPr>
      <w:r>
        <w:rPr>
          <w:bCs/>
          <w:b/>
        </w:rPr>
        <w:t xml:space="preserve">Não aplicável:</w:t>
      </w:r>
      <w:r>
        <w:t xml:space="preserve"> </w:t>
      </w:r>
      <w:r>
        <w:t xml:space="preserve">suportada por escopo e lógica documentados.</w:t>
      </w:r>
    </w:p>
    <w:p>
      <w:pPr>
        <w:numPr>
          <w:ilvl w:val="0"/>
          <w:numId w:val="1008"/>
        </w:numPr>
        <w:pStyle w:val="Compact"/>
      </w:pPr>
      <w:r>
        <w:t xml:space="preserve">** Não avaliado:** Não foi alcançada nenhuma conclusão.</w:t>
      </w:r>
    </w:p>
    <w:p>
      <w:pPr>
        <w:numPr>
          <w:ilvl w:val="0"/>
          <w:numId w:val="1008"/>
        </w:numPr>
        <w:pStyle w:val="Compact"/>
      </w:pPr>
      <w:r>
        <w:t xml:space="preserve">** Não projetado:** nenhum controle ou design materialmente inadequado.</w:t>
      </w:r>
    </w:p>
    <w:p>
      <w:pPr>
        <w:numPr>
          <w:ilvl w:val="0"/>
          <w:numId w:val="1008"/>
        </w:numPr>
        <w:pStyle w:val="Compact"/>
      </w:pPr>
      <w:r>
        <w:rPr>
          <w:bCs/>
          <w:b/>
        </w:rPr>
        <w:t xml:space="preserve">Projetado, não implementado:</w:t>
      </w:r>
      <w:r>
        <w:t xml:space="preserve"> </w:t>
      </w:r>
      <w:r>
        <w:t xml:space="preserve">o design existe, mas a operação ainda não começou.</w:t>
      </w:r>
    </w:p>
    <w:p>
      <w:pPr>
        <w:numPr>
          <w:ilvl w:val="0"/>
          <w:numId w:val="1008"/>
        </w:numPr>
        <w:pStyle w:val="Compact"/>
      </w:pPr>
      <w:r>
        <w:t xml:space="preserve">** Implementada parcialmente:** a operação está incompleta em todo o âmbito, população ou período.</w:t>
      </w:r>
    </w:p>
    <w:p>
      <w:pPr>
        <w:numPr>
          <w:ilvl w:val="0"/>
          <w:numId w:val="1008"/>
        </w:numPr>
        <w:pStyle w:val="Compact"/>
      </w:pPr>
      <w:r>
        <w:t xml:space="preserve">** Evidências implementadas e insuficientes:** O controle pode operar, mas as evidências disponíveis não podem apoiar a conclusão.</w:t>
      </w:r>
    </w:p>
    <w:p>
      <w:pPr>
        <w:numPr>
          <w:ilvl w:val="0"/>
          <w:numId w:val="1008"/>
        </w:numPr>
        <w:pStyle w:val="Compact"/>
      </w:pPr>
      <w:r>
        <w:rPr>
          <w:bCs/>
          <w:b/>
        </w:rPr>
        <w:t xml:space="preserve">Operação com exceções:</w:t>
      </w:r>
      <w:r>
        <w:t xml:space="preserve"> </w:t>
      </w:r>
      <w:r>
        <w:t xml:space="preserve">controle operado, mas exceções requerem avaliação.</w:t>
      </w:r>
    </w:p>
    <w:p>
      <w:pPr>
        <w:numPr>
          <w:ilvl w:val="0"/>
          <w:numId w:val="1008"/>
        </w:numPr>
        <w:pStyle w:val="Compact"/>
      </w:pPr>
      <w:r>
        <w:rPr>
          <w:bCs/>
          <w:b/>
        </w:rPr>
        <w:t xml:space="preserve">Operação eficaz:</w:t>
      </w:r>
      <w:r>
        <w:t xml:space="preserve"> </w:t>
      </w:r>
      <w:r>
        <w:t xml:space="preserve">evidência suporta design, implementação e operação para o escopo e período avaliados.</w:t>
      </w:r>
    </w:p>
    <w:p>
      <w:pPr>
        <w:numPr>
          <w:ilvl w:val="0"/>
          <w:numId w:val="1008"/>
        </w:numPr>
        <w:pStyle w:val="Compact"/>
      </w:pPr>
      <w:r>
        <w:rPr>
          <w:bCs/>
          <w:b/>
        </w:rPr>
        <w:t xml:space="preserve">Aceitado ou aprovado por uma exceção:</w:t>
      </w:r>
      <w:r>
        <w:t xml:space="preserve"> </w:t>
      </w:r>
      <w:r>
        <w:t xml:space="preserve">existe um tratamento autorizado separadamente; isso não equivale à eficácia operacional.</w:t>
      </w:r>
    </w:p>
    <w:bookmarkEnd w:id="46"/>
    <w:bookmarkStart w:id="47" w:name="disciplina-de-amostragem"/>
    <w:p>
      <w:pPr>
        <w:pStyle w:val="Heading2"/>
      </w:pPr>
      <w:r>
        <w:t xml:space="preserve">2.6 Disciplina de amostragem</w:t>
      </w:r>
    </w:p>
    <w:p>
      <w:pPr>
        <w:pStyle w:val="FirstParagraph"/>
      </w:pPr>
      <w:r>
        <w:t xml:space="preserve">A amostragem deve estar ligada à frequência de controlo, ao tamanho da população, ao período de revisão, ao risco, ao desvio esperado, à operação automatizada versus manual e aos requisitos do avaliador. Gravar:</w:t>
      </w:r>
    </w:p>
    <w:p>
      <w:pPr>
        <w:numPr>
          <w:ilvl w:val="0"/>
          <w:numId w:val="1009"/>
        </w:numPr>
        <w:pStyle w:val="Compact"/>
      </w:pPr>
      <w:r>
        <w:t xml:space="preserve">Fonte populacional completa;</w:t>
      </w:r>
    </w:p>
    <w:p>
      <w:pPr>
        <w:numPr>
          <w:ilvl w:val="0"/>
          <w:numId w:val="1009"/>
        </w:numPr>
        <w:pStyle w:val="Compact"/>
      </w:pPr>
      <w:r>
        <w:t xml:space="preserve">Dimensão e período da população;</w:t>
      </w:r>
    </w:p>
    <w:p>
      <w:pPr>
        <w:numPr>
          <w:ilvl w:val="0"/>
          <w:numId w:val="1009"/>
        </w:numPr>
        <w:pStyle w:val="Compact"/>
      </w:pPr>
      <w:r>
        <w:t xml:space="preserve">Método de selecção;</w:t>
      </w:r>
    </w:p>
    <w:p>
      <w:pPr>
        <w:numPr>
          <w:ilvl w:val="0"/>
          <w:numId w:val="1009"/>
        </w:numPr>
        <w:pStyle w:val="Compact"/>
      </w:pPr>
      <w:r>
        <w:t xml:space="preserve">Tamanho e lógica da amostra;</w:t>
      </w:r>
    </w:p>
    <w:p>
      <w:pPr>
        <w:numPr>
          <w:ilvl w:val="0"/>
          <w:numId w:val="1009"/>
        </w:numPr>
        <w:pStyle w:val="Compact"/>
      </w:pPr>
      <w:r>
        <w:t xml:space="preserve">Elementos seleccionados;</w:t>
      </w:r>
    </w:p>
    <w:p>
      <w:pPr>
        <w:numPr>
          <w:ilvl w:val="0"/>
          <w:numId w:val="1009"/>
        </w:numPr>
        <w:pStyle w:val="Compact"/>
      </w:pPr>
      <w:r>
        <w:t xml:space="preserve">Substituições e razões;</w:t>
      </w:r>
    </w:p>
    <w:p>
      <w:pPr>
        <w:numPr>
          <w:ilvl w:val="0"/>
          <w:numId w:val="1009"/>
        </w:numPr>
        <w:pStyle w:val="Compact"/>
      </w:pPr>
      <w:r>
        <w:t xml:space="preserve">Excepções;</w:t>
      </w:r>
    </w:p>
    <w:p>
      <w:pPr>
        <w:numPr>
          <w:ilvl w:val="0"/>
          <w:numId w:val="1009"/>
        </w:numPr>
        <w:pStyle w:val="Compact"/>
      </w:pPr>
      <w:r>
        <w:t xml:space="preserve">Decisões de expansão; e</w:t>
      </w:r>
    </w:p>
    <w:p>
      <w:pPr>
        <w:numPr>
          <w:ilvl w:val="0"/>
          <w:numId w:val="1009"/>
        </w:numPr>
        <w:pStyle w:val="Compact"/>
      </w:pPr>
      <w:r>
        <w:t xml:space="preserve">limitações.</w:t>
      </w:r>
    </w:p>
    <w:p>
      <w:pPr>
        <w:pStyle w:val="FirstParagraph"/>
      </w:pPr>
      <w:r>
        <w:t xml:space="preserve">Amostras de conveniência e exemplos de sucesso selecionados à mão não devem ser representados como evidência imparcial.</w:t>
      </w:r>
    </w:p>
    <w:bookmarkEnd w:id="47"/>
    <w:bookmarkStart w:id="48" w:name="categorias-de-intervalos"/>
    <w:p>
      <w:pPr>
        <w:pStyle w:val="Heading2"/>
      </w:pPr>
      <w:r>
        <w:t xml:space="preserve">2.7 Categorias de intervalos</w:t>
      </w:r>
    </w:p>
    <w:p>
      <w:pPr>
        <w:pStyle w:val="FirstParagraph"/>
      </w:pPr>
      <w:r>
        <w:t xml:space="preserve">Classificar as lacunas de forma consistente:</w:t>
      </w:r>
    </w:p>
    <w:p>
      <w:pPr>
        <w:numPr>
          <w:ilvl w:val="0"/>
          <w:numId w:val="1010"/>
        </w:numPr>
        <w:pStyle w:val="Compact"/>
      </w:pPr>
      <w:r>
        <w:t xml:space="preserve">Controlo em falta;</w:t>
      </w:r>
    </w:p>
    <w:p>
      <w:pPr>
        <w:numPr>
          <w:ilvl w:val="0"/>
          <w:numId w:val="1010"/>
        </w:numPr>
        <w:pStyle w:val="Compact"/>
      </w:pPr>
      <w:r>
        <w:t xml:space="preserve">deficiência de concepção;</w:t>
      </w:r>
    </w:p>
    <w:p>
      <w:pPr>
        <w:numPr>
          <w:ilvl w:val="0"/>
          <w:numId w:val="1010"/>
        </w:numPr>
        <w:pStyle w:val="Compact"/>
      </w:pPr>
      <w:r>
        <w:t xml:space="preserve">Execução incompleta;</w:t>
      </w:r>
    </w:p>
    <w:p>
      <w:pPr>
        <w:numPr>
          <w:ilvl w:val="0"/>
          <w:numId w:val="1010"/>
        </w:numPr>
        <w:pStyle w:val="Compact"/>
      </w:pPr>
      <w:r>
        <w:t xml:space="preserve">Falha de funcionamento;</w:t>
      </w:r>
    </w:p>
    <w:p>
      <w:pPr>
        <w:numPr>
          <w:ilvl w:val="0"/>
          <w:numId w:val="1010"/>
        </w:numPr>
        <w:pStyle w:val="Compact"/>
      </w:pPr>
      <w:r>
        <w:t xml:space="preserve">Deficiência em provas;</w:t>
      </w:r>
    </w:p>
    <w:p>
      <w:pPr>
        <w:numPr>
          <w:ilvl w:val="0"/>
          <w:numId w:val="1010"/>
        </w:numPr>
        <w:pStyle w:val="Compact"/>
      </w:pPr>
      <w:r>
        <w:t xml:space="preserve">Âmbito ou ambiguidade de propriedade;</w:t>
      </w:r>
    </w:p>
    <w:p>
      <w:pPr>
        <w:numPr>
          <w:ilvl w:val="0"/>
          <w:numId w:val="1010"/>
        </w:numPr>
        <w:pStyle w:val="Compact"/>
      </w:pPr>
      <w:r>
        <w:t xml:space="preserve">inconsistência política-prática;</w:t>
      </w:r>
    </w:p>
    <w:p>
      <w:pPr>
        <w:numPr>
          <w:ilvl w:val="0"/>
          <w:numId w:val="1010"/>
        </w:numPr>
        <w:pStyle w:val="Compact"/>
      </w:pPr>
      <w:r>
        <w:t xml:space="preserve">Falha na dependência herdada-controlo;</w:t>
      </w:r>
    </w:p>
    <w:p>
      <w:pPr>
        <w:numPr>
          <w:ilvl w:val="0"/>
          <w:numId w:val="1010"/>
        </w:numPr>
        <w:pStyle w:val="Compact"/>
      </w:pPr>
      <w:r>
        <w:t xml:space="preserve">Deficiência de monitorização;</w:t>
      </w:r>
    </w:p>
    <w:p>
      <w:pPr>
        <w:numPr>
          <w:ilvl w:val="0"/>
          <w:numId w:val="1010"/>
        </w:numPr>
        <w:pStyle w:val="Compact"/>
      </w:pPr>
      <w:r>
        <w:t xml:space="preserve">Repetir a constatação; e</w:t>
      </w:r>
    </w:p>
    <w:p>
      <w:pPr>
        <w:numPr>
          <w:ilvl w:val="0"/>
          <w:numId w:val="1010"/>
        </w:numPr>
        <w:pStyle w:val="Compact"/>
      </w:pPr>
      <w:r>
        <w:t xml:space="preserve">asserção de gestão não suportada.</w:t>
      </w:r>
    </w:p>
    <w:p>
      <w:pPr>
        <w:pStyle w:val="FirstParagraph"/>
      </w:pPr>
      <w:r>
        <w:t xml:space="preserve">A categoria ajuda a determinar a causa raiz e a ação corretiva. Uma deficiência de provas não deve ser automaticamente tratada como prova de que o controlo falhou, mas a incapacidade de demonstrar a operação pode ainda criar uma exposição à auditoria e à conformidade.</w:t>
      </w:r>
    </w:p>
    <w:bookmarkEnd w:id="48"/>
    <w:bookmarkStart w:id="49" w:name="Xb3f4d240d2627bdb1ed9fbcad57c1131bfa80f5"/>
    <w:p>
      <w:pPr>
        <w:pStyle w:val="Heading2"/>
      </w:pPr>
      <w:r>
        <w:t xml:space="preserve">2.8 Revisão da qualidade antes da notificação</w:t>
      </w:r>
    </w:p>
    <w:p>
      <w:pPr>
        <w:pStyle w:val="FirstParagraph"/>
      </w:pPr>
      <w:r>
        <w:t xml:space="preserve">Antes de emitir resultados de prontidão, confirmar que:</w:t>
      </w:r>
    </w:p>
    <w:p>
      <w:pPr>
        <w:numPr>
          <w:ilvl w:val="0"/>
          <w:numId w:val="1011"/>
        </w:numPr>
        <w:pStyle w:val="Compact"/>
      </w:pPr>
      <w:r>
        <w:t xml:space="preserve">Os critérios e versões estão correctos;</w:t>
      </w:r>
    </w:p>
    <w:p>
      <w:pPr>
        <w:numPr>
          <w:ilvl w:val="0"/>
          <w:numId w:val="1011"/>
        </w:numPr>
        <w:pStyle w:val="Compact"/>
      </w:pPr>
      <w:r>
        <w:t xml:space="preserve">O âmbito e o período são explícitos;</w:t>
      </w:r>
    </w:p>
    <w:p>
      <w:pPr>
        <w:numPr>
          <w:ilvl w:val="0"/>
          <w:numId w:val="1011"/>
        </w:numPr>
        <w:pStyle w:val="Compact"/>
      </w:pPr>
      <w:r>
        <w:t xml:space="preserve">As provas são rastreáveis e protegidas;</w:t>
      </w:r>
    </w:p>
    <w:p>
      <w:pPr>
        <w:numPr>
          <w:ilvl w:val="0"/>
          <w:numId w:val="1011"/>
        </w:numPr>
        <w:pStyle w:val="Compact"/>
      </w:pPr>
      <w:r>
        <w:t xml:space="preserve">Os procedimentos realizados são documentados;</w:t>
      </w:r>
    </w:p>
    <w:p>
      <w:pPr>
        <w:numPr>
          <w:ilvl w:val="0"/>
          <w:numId w:val="1011"/>
        </w:numPr>
        <w:pStyle w:val="Compact"/>
      </w:pPr>
      <w:r>
        <w:t xml:space="preserve">As conclusões decorrem dos elementos de prova;</w:t>
      </w:r>
    </w:p>
    <w:p>
      <w:pPr>
        <w:numPr>
          <w:ilvl w:val="0"/>
          <w:numId w:val="1011"/>
        </w:numPr>
        <w:pStyle w:val="Compact"/>
      </w:pPr>
      <w:r>
        <w:t xml:space="preserve">As exceções não são minimizadas ou exageradas;</w:t>
      </w:r>
    </w:p>
    <w:p>
      <w:pPr>
        <w:numPr>
          <w:ilvl w:val="0"/>
          <w:numId w:val="1011"/>
        </w:numPr>
        <w:pStyle w:val="Compact"/>
      </w:pPr>
      <w:r>
        <w:t xml:space="preserve">As emissões duplicadas são devidamente consolidadas;</w:t>
      </w:r>
    </w:p>
    <w:p>
      <w:pPr>
        <w:numPr>
          <w:ilvl w:val="0"/>
          <w:numId w:val="1011"/>
        </w:numPr>
        <w:pStyle w:val="Compact"/>
      </w:pPr>
      <w:r>
        <w:t xml:space="preserve">A gravidade é aplicada de forma consistente;</w:t>
      </w:r>
    </w:p>
    <w:p>
      <w:pPr>
        <w:numPr>
          <w:ilvl w:val="0"/>
          <w:numId w:val="1011"/>
        </w:numPr>
        <w:pStyle w:val="Compact"/>
      </w:pPr>
      <w:r>
        <w:t xml:space="preserve">Os factos e divergências de gestão são registados; e</w:t>
      </w:r>
    </w:p>
    <w:p>
      <w:pPr>
        <w:numPr>
          <w:ilvl w:val="0"/>
          <w:numId w:val="1011"/>
        </w:numPr>
        <w:pStyle w:val="Compact"/>
      </w:pPr>
      <w:r>
        <w:t xml:space="preserve">As limitações são visíveis.</w:t>
      </w:r>
    </w:p>
    <w:bookmarkEnd w:id="49"/>
    <w:bookmarkEnd w:id="50"/>
    <w:bookmarkStart w:id="60" w:name="X951ed15481bd0c17930e2de484ef1f1332aa9e9"/>
    <w:p>
      <w:pPr>
        <w:pStyle w:val="Heading1"/>
      </w:pPr>
      <w:r>
        <w:t xml:space="preserve">Achados, Causa Raiz e Priorização do Risco</w:t>
      </w:r>
    </w:p>
    <w:bookmarkStart w:id="51" w:name="objecto"/>
    <w:p>
      <w:pPr>
        <w:pStyle w:val="Heading2"/>
      </w:pPr>
      <w:r>
        <w:t xml:space="preserve">Objecto</w:t>
      </w:r>
    </w:p>
    <w:p>
      <w:pPr>
        <w:pStyle w:val="FirstParagraph"/>
      </w:pPr>
      <w:r>
        <w:t xml:space="preserve">Uma constatação de prontidão deve descrever uma condição verificada, o critério aplicável, as provas revistas, o risco resultante e a ação necessária. Não deve ser uma crítica vaga, uma conclusão não apoiada, ou uma preferência disfarçada.</w:t>
      </w:r>
    </w:p>
    <w:bookmarkEnd w:id="51"/>
    <w:bookmarkStart w:id="52" w:name="encontrar-anatomia"/>
    <w:p>
      <w:pPr>
        <w:pStyle w:val="Heading2"/>
      </w:pPr>
      <w:r>
        <w:t xml:space="preserve">Encontrar anatomia</w:t>
      </w:r>
    </w:p>
    <w:p>
      <w:pPr>
        <w:pStyle w:val="FirstParagraph"/>
      </w:pPr>
      <w:r>
        <w:t xml:space="preserve">Um achado defensável normalmente contém:</w:t>
      </w:r>
    </w:p>
    <w:p>
      <w:pPr>
        <w:numPr>
          <w:ilvl w:val="0"/>
          <w:numId w:val="1012"/>
        </w:numPr>
        <w:pStyle w:val="Compact"/>
      </w:pPr>
      <w:r>
        <w:rPr>
          <w:bCs/>
          <w:b/>
        </w:rPr>
        <w:t xml:space="preserve">Critério</w:t>
      </w:r>
      <w:r>
        <w:t xml:space="preserve"> </w:t>
      </w:r>
      <w:r>
        <w:t xml:space="preserve">— o requisito, objetivo de controle, política, procedimento, contrato ou padrão interno aprovado.</w:t>
      </w:r>
    </w:p>
    <w:p>
      <w:pPr>
        <w:numPr>
          <w:ilvl w:val="0"/>
          <w:numId w:val="1012"/>
        </w:numPr>
        <w:pStyle w:val="Compact"/>
      </w:pPr>
      <w:r>
        <w:rPr>
          <w:bCs/>
          <w:b/>
        </w:rPr>
        <w:t xml:space="preserve">Condição</w:t>
      </w:r>
      <w:r>
        <w:t xml:space="preserve"> </w:t>
      </w:r>
      <w:r>
        <w:t xml:space="preserve">— o que foi observado.</w:t>
      </w:r>
    </w:p>
    <w:p>
      <w:pPr>
        <w:numPr>
          <w:ilvl w:val="0"/>
          <w:numId w:val="1012"/>
        </w:numPr>
        <w:pStyle w:val="Compact"/>
      </w:pPr>
      <w:r>
        <w:t xml:space="preserve">** Evidência** — os registros, entrevistas, testes, amostras, ou saídas do sistema que suportam a condição.</w:t>
      </w:r>
    </w:p>
    <w:p>
      <w:pPr>
        <w:numPr>
          <w:ilvl w:val="0"/>
          <w:numId w:val="1012"/>
        </w:numPr>
        <w:pStyle w:val="Compact"/>
      </w:pPr>
      <w:r>
        <w:rPr>
          <w:bCs/>
          <w:b/>
        </w:rPr>
        <w:t xml:space="preserve">Causa</w:t>
      </w:r>
      <w:r>
        <w:t xml:space="preserve"> </w:t>
      </w:r>
      <w:r>
        <w:t xml:space="preserve">— a razão subjacente à condição existe.</w:t>
      </w:r>
    </w:p>
    <w:p>
      <w:pPr>
        <w:numPr>
          <w:ilvl w:val="0"/>
          <w:numId w:val="1012"/>
        </w:numPr>
        <w:pStyle w:val="Compact"/>
      </w:pPr>
      <w:r>
        <w:rPr>
          <w:bCs/>
          <w:b/>
        </w:rPr>
        <w:t xml:space="preserve">Efeito ou risco</w:t>
      </w:r>
      <w:r>
        <w:t xml:space="preserve"> </w:t>
      </w:r>
      <w:r>
        <w:t xml:space="preserve">— consequência real ou plausível.</w:t>
      </w:r>
    </w:p>
    <w:p>
      <w:pPr>
        <w:numPr>
          <w:ilvl w:val="0"/>
          <w:numId w:val="1012"/>
        </w:numPr>
        <w:pStyle w:val="Compact"/>
      </w:pPr>
      <w:r>
        <w:t xml:space="preserve">** Scope** — sistemas, processos, locais, populações e períodos afetados.</w:t>
      </w:r>
    </w:p>
    <w:p>
      <w:pPr>
        <w:numPr>
          <w:ilvl w:val="0"/>
          <w:numId w:val="1012"/>
        </w:numPr>
        <w:pStyle w:val="Compact"/>
      </w:pPr>
      <w:r>
        <w:rPr>
          <w:bCs/>
          <w:b/>
        </w:rPr>
        <w:t xml:space="preserve">Proprietário</w:t>
      </w:r>
      <w:r>
        <w:t xml:space="preserve"> </w:t>
      </w:r>
      <w:r>
        <w:t xml:space="preserve">— pessoa ou função responsável.</w:t>
      </w:r>
    </w:p>
    <w:p>
      <w:pPr>
        <w:numPr>
          <w:ilvl w:val="0"/>
          <w:numId w:val="1012"/>
        </w:numPr>
        <w:pStyle w:val="Compact"/>
      </w:pPr>
      <w:r>
        <w:rPr>
          <w:bCs/>
          <w:b/>
        </w:rPr>
        <w:t xml:space="preserve">Resposta exigida</w:t>
      </w:r>
      <w:r>
        <w:t xml:space="preserve"> </w:t>
      </w:r>
      <w:r>
        <w:t xml:space="preserve">— correção, contenção, remediação, aceitação ou análise posterior.</w:t>
      </w:r>
    </w:p>
    <w:bookmarkEnd w:id="52"/>
    <w:bookmarkStart w:id="53" w:name="observação-separada-da-conclusão"/>
    <w:p>
      <w:pPr>
        <w:pStyle w:val="Heading2"/>
      </w:pPr>
      <w:r>
        <w:t xml:space="preserve">Observação separada da conclusão</w:t>
      </w:r>
    </w:p>
    <w:p>
      <w:pPr>
        <w:pStyle w:val="FirstParagraph"/>
      </w:pPr>
      <w:r>
        <w:t xml:space="preserve">Gravar os factos antes de aplicar os rótulos. Por exemplo:</w:t>
      </w:r>
    </w:p>
    <w:p>
      <w:pPr>
        <w:numPr>
          <w:ilvl w:val="0"/>
          <w:numId w:val="1013"/>
        </w:numPr>
        <w:pStyle w:val="Compact"/>
      </w:pPr>
      <w:r>
        <w:t xml:space="preserve">Facto: seis de vinte contas de utilizadores encerrados incluídas na amostra permaneceram autorizadas mais de cinco dias úteis após a cessação.</w:t>
      </w:r>
    </w:p>
    <w:p>
      <w:pPr>
        <w:numPr>
          <w:ilvl w:val="0"/>
          <w:numId w:val="1013"/>
        </w:numPr>
        <w:pStyle w:val="Compact"/>
      </w:pPr>
      <w:r>
        <w:t xml:space="preserve">Critério: o procedimento de acesso aprovado requer deficiência no prazo de um dia útil.</w:t>
      </w:r>
    </w:p>
    <w:p>
      <w:pPr>
        <w:numPr>
          <w:ilvl w:val="0"/>
          <w:numId w:val="1013"/>
        </w:numPr>
        <w:pStyle w:val="Compact"/>
      </w:pPr>
      <w:r>
        <w:t xml:space="preserve">Conclusão: o processo de amostragem não satisfazia de forma consistente o requisito de deficiência aprovado.</w:t>
      </w:r>
    </w:p>
    <w:p>
      <w:pPr>
        <w:pStyle w:val="FirstParagraph"/>
      </w:pPr>
      <w:r>
        <w:t xml:space="preserve">Essa sequência torna o raciocínio rastreável e reduz as disputas baseadas na redação.</w:t>
      </w:r>
    </w:p>
    <w:bookmarkEnd w:id="53"/>
    <w:bookmarkStart w:id="54" w:name="evitar-defeitos-comuns"/>
    <w:p>
      <w:pPr>
        <w:pStyle w:val="Heading2"/>
      </w:pPr>
      <w:r>
        <w:t xml:space="preserve">Evitar defeitos comuns</w:t>
      </w:r>
    </w:p>
    <w:p>
      <w:pPr>
        <w:pStyle w:val="FirstParagraph"/>
      </w:pPr>
      <w:r>
        <w:t xml:space="preserve">Não:</w:t>
      </w:r>
    </w:p>
    <w:p>
      <w:pPr>
        <w:numPr>
          <w:ilvl w:val="0"/>
          <w:numId w:val="1014"/>
        </w:numPr>
        <w:pStyle w:val="Compact"/>
      </w:pPr>
      <w:r>
        <w:t xml:space="preserve">Citar um quadro sem identificar o critério relevante;</w:t>
      </w:r>
    </w:p>
    <w:p>
      <w:pPr>
        <w:numPr>
          <w:ilvl w:val="0"/>
          <w:numId w:val="1014"/>
        </w:numPr>
        <w:pStyle w:val="Compact"/>
      </w:pPr>
      <w:r>
        <w:t xml:space="preserve">Inferir a falha de toda a organização de uma amostra não representativa;</w:t>
      </w:r>
    </w:p>
    <w:p>
      <w:pPr>
        <w:numPr>
          <w:ilvl w:val="0"/>
          <w:numId w:val="1014"/>
        </w:numPr>
        <w:pStyle w:val="Compact"/>
      </w:pPr>
      <w:r>
        <w:t xml:space="preserve">Estado intenção ou negligência sem provas;</w:t>
      </w:r>
    </w:p>
    <w:p>
      <w:pPr>
        <w:numPr>
          <w:ilvl w:val="0"/>
          <w:numId w:val="1014"/>
        </w:numPr>
        <w:pStyle w:val="Compact"/>
      </w:pPr>
      <w:r>
        <w:t xml:space="preserve">Conjugar questões não relacionadas numa única constatação;</w:t>
      </w:r>
    </w:p>
    <w:p>
      <w:pPr>
        <w:numPr>
          <w:ilvl w:val="0"/>
          <w:numId w:val="1014"/>
        </w:numPr>
        <w:pStyle w:val="Compact"/>
      </w:pPr>
      <w:r>
        <w:t xml:space="preserve">prescrever uma solução técnica específica quando vários tratamentos possam satisfazer o objectivo;</w:t>
      </w:r>
    </w:p>
    <w:p>
      <w:pPr>
        <w:numPr>
          <w:ilvl w:val="0"/>
          <w:numId w:val="1014"/>
        </w:numPr>
        <w:pStyle w:val="Compact"/>
      </w:pPr>
      <w:r>
        <w:t xml:space="preserve">classificar a gravidade apenas pela preferência do auditor;</w:t>
      </w:r>
    </w:p>
    <w:p>
      <w:pPr>
        <w:numPr>
          <w:ilvl w:val="0"/>
          <w:numId w:val="1014"/>
        </w:numPr>
        <w:pStyle w:val="Compact"/>
      </w:pPr>
      <w:r>
        <w:t xml:space="preserve">Omitir controlos compensadores ou provas contraditórias;</w:t>
      </w:r>
    </w:p>
    <w:p>
      <w:pPr>
        <w:numPr>
          <w:ilvl w:val="0"/>
          <w:numId w:val="1014"/>
        </w:numPr>
        <w:pStyle w:val="Compact"/>
      </w:pPr>
      <w:r>
        <w:t xml:space="preserve">fechar uma descoberta meramente porque um documento foi criado.</w:t>
      </w:r>
    </w:p>
    <w:bookmarkEnd w:id="54"/>
    <w:bookmarkStart w:id="55" w:name="análise-da-causa-raiz"/>
    <w:p>
      <w:pPr>
        <w:pStyle w:val="Heading2"/>
      </w:pPr>
      <w:r>
        <w:t xml:space="preserve">Análise da causa raiz</w:t>
      </w:r>
    </w:p>
    <w:p>
      <w:pPr>
        <w:pStyle w:val="FirstParagraph"/>
      </w:pPr>
      <w:r>
        <w:t xml:space="preserve">Uma causa raiz não é o sintoma visível. As categorias úteis incluem:</w:t>
      </w:r>
    </w:p>
    <w:p>
      <w:pPr>
        <w:numPr>
          <w:ilvl w:val="0"/>
          <w:numId w:val="1015"/>
        </w:numPr>
        <w:pStyle w:val="Compact"/>
      </w:pPr>
      <w:r>
        <w:t xml:space="preserve">Responsabilidade pouco clara;</w:t>
      </w:r>
    </w:p>
    <w:p>
      <w:pPr>
        <w:numPr>
          <w:ilvl w:val="0"/>
          <w:numId w:val="1015"/>
        </w:numPr>
        <w:pStyle w:val="Compact"/>
      </w:pPr>
      <w:r>
        <w:t xml:space="preserve">Requisitos em falta ou em conflito;</w:t>
      </w:r>
    </w:p>
    <w:p>
      <w:pPr>
        <w:numPr>
          <w:ilvl w:val="0"/>
          <w:numId w:val="1015"/>
        </w:numPr>
        <w:pStyle w:val="Compact"/>
      </w:pPr>
      <w:r>
        <w:t xml:space="preserve">Desenho inadequado do processo;</w:t>
      </w:r>
    </w:p>
    <w:p>
      <w:pPr>
        <w:numPr>
          <w:ilvl w:val="0"/>
          <w:numId w:val="1015"/>
        </w:numPr>
        <w:pStyle w:val="Compact"/>
      </w:pPr>
      <w:r>
        <w:t xml:space="preserve">Recursos ou capacidades insuficientes;</w:t>
      </w:r>
    </w:p>
    <w:p>
      <w:pPr>
        <w:numPr>
          <w:ilvl w:val="0"/>
          <w:numId w:val="1015"/>
        </w:numPr>
        <w:pStyle w:val="Compact"/>
      </w:pPr>
      <w:r>
        <w:t xml:space="preserve">Formação ineficaz;</w:t>
      </w:r>
    </w:p>
    <w:p>
      <w:pPr>
        <w:numPr>
          <w:ilvl w:val="0"/>
          <w:numId w:val="1015"/>
        </w:numPr>
        <w:pStyle w:val="Compact"/>
      </w:pPr>
      <w:r>
        <w:t xml:space="preserve">Uma gestão fraca das alterações;</w:t>
      </w:r>
    </w:p>
    <w:p>
      <w:pPr>
        <w:numPr>
          <w:ilvl w:val="0"/>
          <w:numId w:val="1015"/>
        </w:numPr>
        <w:pStyle w:val="Compact"/>
      </w:pPr>
      <w:r>
        <w:t xml:space="preserve">Limitações da tecnologia;</w:t>
      </w:r>
    </w:p>
    <w:p>
      <w:pPr>
        <w:numPr>
          <w:ilvl w:val="0"/>
          <w:numId w:val="1015"/>
        </w:numPr>
        <w:pStyle w:val="Compact"/>
      </w:pPr>
      <w:r>
        <w:t xml:space="preserve">Controlo incompleto;</w:t>
      </w:r>
    </w:p>
    <w:p>
      <w:pPr>
        <w:numPr>
          <w:ilvl w:val="0"/>
          <w:numId w:val="1015"/>
        </w:numPr>
        <w:pStyle w:val="Compact"/>
      </w:pPr>
      <w:r>
        <w:t xml:space="preserve">má qualidade dos dados;</w:t>
      </w:r>
    </w:p>
    <w:p>
      <w:pPr>
        <w:numPr>
          <w:ilvl w:val="0"/>
          <w:numId w:val="1015"/>
        </w:numPr>
        <w:pStyle w:val="Compact"/>
      </w:pPr>
      <w:r>
        <w:t xml:space="preserve">dependência de terceiros não geridos;</w:t>
      </w:r>
    </w:p>
    <w:p>
      <w:pPr>
        <w:numPr>
          <w:ilvl w:val="0"/>
          <w:numId w:val="1015"/>
        </w:numPr>
        <w:pStyle w:val="Compact"/>
      </w:pPr>
      <w:r>
        <w:t xml:space="preserve">Incentivos ou conflitos de governação.</w:t>
      </w:r>
    </w:p>
    <w:p>
      <w:pPr>
        <w:pStyle w:val="FirstParagraph"/>
      </w:pPr>
      <w:r>
        <w:t xml:space="preserve">Use métodos proporcionais à questão, como análise de cinco razões, mapeamento causal, análise de barreira, análise de processo ou revisão comparativa de casos bem sucedidos e fracassados.</w:t>
      </w:r>
    </w:p>
    <w:bookmarkEnd w:id="55"/>
    <w:bookmarkStart w:id="56" w:name="validar-a-causa"/>
    <w:p>
      <w:pPr>
        <w:pStyle w:val="Heading2"/>
      </w:pPr>
      <w:r>
        <w:t xml:space="preserve">Validar a causa</w:t>
      </w:r>
    </w:p>
    <w:p>
      <w:pPr>
        <w:pStyle w:val="FirstParagraph"/>
      </w:pPr>
      <w:r>
        <w:t xml:space="preserve">Uma causa raiz proposta deve explicar a condição observada e ser apoiada por evidências. Teste se remover essa causa reduziria razoavelmente a recorrência. Quando várias causas interagem, o documento contribui com causas em vez de forçar uma única explicação.</w:t>
      </w:r>
    </w:p>
    <w:bookmarkEnd w:id="56"/>
    <w:bookmarkStart w:id="57" w:name="priorização-do-risco"/>
    <w:p>
      <w:pPr>
        <w:pStyle w:val="Heading2"/>
      </w:pPr>
      <w:r>
        <w:t xml:space="preserve">Priorização do risco</w:t>
      </w:r>
    </w:p>
    <w:p>
      <w:pPr>
        <w:pStyle w:val="FirstParagraph"/>
      </w:pPr>
      <w:r>
        <w:t xml:space="preserve">A gravidade deve considerar:</w:t>
      </w:r>
    </w:p>
    <w:p>
      <w:pPr>
        <w:numPr>
          <w:ilvl w:val="0"/>
          <w:numId w:val="1016"/>
        </w:numPr>
        <w:pStyle w:val="Compact"/>
      </w:pPr>
      <w:r>
        <w:t xml:space="preserve">Consequências para objetivos, clientes, pessoas, dados, operações, finanças ou obrigações legais;</w:t>
      </w:r>
    </w:p>
    <w:p>
      <w:pPr>
        <w:numPr>
          <w:ilvl w:val="0"/>
          <w:numId w:val="1016"/>
        </w:numPr>
        <w:pStyle w:val="Compact"/>
      </w:pPr>
      <w:r>
        <w:t xml:space="preserve">Verossimilhança ou frequência;</w:t>
      </w:r>
    </w:p>
    <w:p>
      <w:pPr>
        <w:numPr>
          <w:ilvl w:val="0"/>
          <w:numId w:val="1016"/>
        </w:numPr>
        <w:pStyle w:val="Compact"/>
      </w:pPr>
      <w:r>
        <w:t xml:space="preserve">duração da exposição;</w:t>
      </w:r>
    </w:p>
    <w:p>
      <w:pPr>
        <w:numPr>
          <w:ilvl w:val="0"/>
          <w:numId w:val="1016"/>
        </w:numPr>
        <w:pStyle w:val="Compact"/>
      </w:pPr>
      <w:r>
        <w:t xml:space="preserve">população afectada e âmbito de aplicação;</w:t>
      </w:r>
    </w:p>
    <w:p>
      <w:pPr>
        <w:numPr>
          <w:ilvl w:val="0"/>
          <w:numId w:val="1016"/>
        </w:numPr>
        <w:pStyle w:val="Compact"/>
      </w:pPr>
      <w:r>
        <w:t xml:space="preserve">Controlar a dependência e a concentração;</w:t>
      </w:r>
    </w:p>
    <w:p>
      <w:pPr>
        <w:numPr>
          <w:ilvl w:val="0"/>
          <w:numId w:val="1016"/>
        </w:numPr>
        <w:pStyle w:val="Compact"/>
      </w:pPr>
      <w:r>
        <w:t xml:space="preserve">detecção;</w:t>
      </w:r>
    </w:p>
    <w:p>
      <w:pPr>
        <w:numPr>
          <w:ilvl w:val="0"/>
          <w:numId w:val="1016"/>
        </w:numPr>
        <w:pStyle w:val="Compact"/>
      </w:pPr>
      <w:r>
        <w:t xml:space="preserve">Explorabilidade ou potencial de utilização abusiva;</w:t>
      </w:r>
    </w:p>
    <w:p>
      <w:pPr>
        <w:numPr>
          <w:ilvl w:val="0"/>
          <w:numId w:val="1016"/>
        </w:numPr>
        <w:pStyle w:val="Compact"/>
      </w:pPr>
      <w:r>
        <w:t xml:space="preserve">Significado regulamentar, contratual ou de comunicação de informações;</w:t>
      </w:r>
    </w:p>
    <w:p>
      <w:pPr>
        <w:numPr>
          <w:ilvl w:val="0"/>
          <w:numId w:val="1016"/>
        </w:numPr>
        <w:pStyle w:val="Compact"/>
      </w:pPr>
      <w:r>
        <w:t xml:space="preserve">Presença e fiabilidade dos controlos compensadores;</w:t>
      </w:r>
    </w:p>
    <w:p>
      <w:pPr>
        <w:numPr>
          <w:ilvl w:val="0"/>
          <w:numId w:val="1016"/>
        </w:numPr>
        <w:pStyle w:val="Compact"/>
      </w:pPr>
      <w:r>
        <w:t xml:space="preserve">Regresso e compromissos de gestão anteriores.</w:t>
      </w:r>
    </w:p>
    <w:p>
      <w:pPr>
        <w:pStyle w:val="FirstParagraph"/>
      </w:pPr>
      <w:r>
        <w:t xml:space="preserve">Uma escala de prioridades simples pode ser usada quando as definições são aprovadas e aplicadas de forma consistente:</w:t>
      </w:r>
    </w:p>
    <w:p>
      <w:pPr>
        <w:numPr>
          <w:ilvl w:val="0"/>
          <w:numId w:val="1017"/>
        </w:numPr>
        <w:pStyle w:val="Compact"/>
      </w:pPr>
      <w:r>
        <w:rPr>
          <w:bCs/>
          <w:b/>
        </w:rPr>
        <w:t xml:space="preserve">Crítica</w:t>
      </w:r>
      <w:r>
        <w:t xml:space="preserve"> </w:t>
      </w:r>
      <w:r>
        <w:t xml:space="preserve">— ameaça imediata ou de curto prazo que exige escalada executiva e contenção urgente.</w:t>
      </w:r>
    </w:p>
    <w:p>
      <w:pPr>
        <w:numPr>
          <w:ilvl w:val="0"/>
          <w:numId w:val="1017"/>
        </w:numPr>
        <w:pStyle w:val="Compact"/>
      </w:pPr>
      <w:r>
        <w:rPr>
          <w:bCs/>
          <w:b/>
        </w:rPr>
        <w:t xml:space="preserve">Alta</w:t>
      </w:r>
      <w:r>
        <w:t xml:space="preserve"> </w:t>
      </w:r>
      <w:r>
        <w:t xml:space="preserve">— exposição material que exige remediação formal e supervisão frequente.</w:t>
      </w:r>
    </w:p>
    <w:p>
      <w:pPr>
        <w:numPr>
          <w:ilvl w:val="0"/>
          <w:numId w:val="1017"/>
        </w:numPr>
        <w:pStyle w:val="Compact"/>
      </w:pPr>
      <w:r>
        <w:rPr>
          <w:bCs/>
          <w:b/>
        </w:rPr>
        <w:t xml:space="preserve">Moderado</w:t>
      </w:r>
      <w:r>
        <w:t xml:space="preserve"> </w:t>
      </w:r>
      <w:r>
        <w:t xml:space="preserve">— fraqueza significativa que requer correção planejada e conclusão rastreada.</w:t>
      </w:r>
    </w:p>
    <w:p>
      <w:pPr>
        <w:numPr>
          <w:ilvl w:val="0"/>
          <w:numId w:val="1017"/>
        </w:numPr>
        <w:pStyle w:val="Compact"/>
      </w:pPr>
      <w:r>
        <w:t xml:space="preserve">** Baixa** — exposição limitada adequada para melhoria de rotina ou aceitação monitorizada.</w:t>
      </w:r>
    </w:p>
    <w:bookmarkEnd w:id="57"/>
    <w:bookmarkStart w:id="58" w:name="desafio-e-calibração"/>
    <w:p>
      <w:pPr>
        <w:pStyle w:val="Heading2"/>
      </w:pPr>
      <w:r>
        <w:t xml:space="preserve">Desafio e calibração</w:t>
      </w:r>
    </w:p>
    <w:p>
      <w:pPr>
        <w:pStyle w:val="FirstParagraph"/>
      </w:pPr>
      <w:r>
        <w:t xml:space="preserve">Fornecer um processo controlado para a gestão para desafiar precisão factual, escopo, critério, severidade ou propriedade. Os desafios devem incluir provas. A classificação final deve ser documentada, incluindo o desacordo não resolvido e o tomador de decisão responsável.</w:t>
      </w:r>
    </w:p>
    <w:bookmarkEnd w:id="58"/>
    <w:bookmarkStart w:id="59" w:name="relação-com-a-aceitação-do-risco"/>
    <w:p>
      <w:pPr>
        <w:pStyle w:val="Heading2"/>
      </w:pPr>
      <w:r>
        <w:t xml:space="preserve">Relação com a aceitação do risco</w:t>
      </w:r>
    </w:p>
    <w:p>
      <w:pPr>
        <w:pStyle w:val="FirstParagraph"/>
      </w:pPr>
      <w:r>
        <w:t xml:space="preserve">A aceitação é uma decisão de gestão, não um atalho de encerramento de auditoria. O registo de aceitação deverá identificar a exposição remanescente, a duração, os controlos compensadores, a monitorização, a entidade homologadora e a data de revisão. A aceitação não altera uma declaração de controlo imprecisa para um controlo eficaz.</w:t>
      </w:r>
    </w:p>
    <w:bookmarkEnd w:id="59"/>
    <w:bookmarkEnd w:id="60"/>
    <w:bookmarkStart w:id="72" w:name="planejamento-e-governação-da-remediação"/>
    <w:p>
      <w:pPr>
        <w:pStyle w:val="Heading1"/>
      </w:pPr>
      <w:r>
        <w:t xml:space="preserve">Planejamento e Governação da Remediação</w:t>
      </w:r>
    </w:p>
    <w:bookmarkStart w:id="61" w:name="objecto-1"/>
    <w:p>
      <w:pPr>
        <w:pStyle w:val="Heading2"/>
      </w:pPr>
      <w:r>
        <w:t xml:space="preserve">Objecto</w:t>
      </w:r>
    </w:p>
    <w:p>
      <w:pPr>
        <w:pStyle w:val="FirstParagraph"/>
      </w:pPr>
      <w:r>
        <w:t xml:space="preserve">Um plano de remediação converte um achado aceito em trabalho responsável e testável. Deve reduzir o risco identificado, abordar a causa validada e apresentar provas adequadas para uma revisão independente do encerramento.</w:t>
      </w:r>
    </w:p>
    <w:bookmarkEnd w:id="61"/>
    <w:bookmarkStart w:id="62" w:name="teor-mínimo-do-plano-de-remediação"/>
    <w:p>
      <w:pPr>
        <w:pStyle w:val="Heading2"/>
      </w:pPr>
      <w:r>
        <w:t xml:space="preserve">Teor mínimo do plano de remediação</w:t>
      </w:r>
    </w:p>
    <w:p>
      <w:pPr>
        <w:pStyle w:val="FirstParagraph"/>
      </w:pPr>
      <w:r>
        <w:t xml:space="preserve">Cada plano deve registar:</w:t>
      </w:r>
    </w:p>
    <w:p>
      <w:pPr>
        <w:numPr>
          <w:ilvl w:val="0"/>
          <w:numId w:val="1018"/>
        </w:numPr>
        <w:pStyle w:val="Compact"/>
      </w:pPr>
      <w:r>
        <w:t xml:space="preserve">Identificador e título de identificação;</w:t>
      </w:r>
    </w:p>
    <w:p>
      <w:pPr>
        <w:numPr>
          <w:ilvl w:val="0"/>
          <w:numId w:val="1018"/>
        </w:numPr>
        <w:pStyle w:val="Compact"/>
      </w:pPr>
      <w:r>
        <w:t xml:space="preserve">Critérios e demonstrações de risco aplicáveis;</w:t>
      </w:r>
    </w:p>
    <w:p>
      <w:pPr>
        <w:numPr>
          <w:ilvl w:val="0"/>
          <w:numId w:val="1018"/>
        </w:numPr>
        <w:pStyle w:val="Compact"/>
      </w:pPr>
      <w:r>
        <w:t xml:space="preserve">Raízes validadas e causas contribuintes;</w:t>
      </w:r>
    </w:p>
    <w:p>
      <w:pPr>
        <w:numPr>
          <w:ilvl w:val="0"/>
          <w:numId w:val="1018"/>
        </w:numPr>
        <w:pStyle w:val="Compact"/>
      </w:pPr>
      <w:r>
        <w:t xml:space="preserve">Controlos de confinamento ou de compensação intermédios;</w:t>
      </w:r>
    </w:p>
    <w:p>
      <w:pPr>
        <w:numPr>
          <w:ilvl w:val="0"/>
          <w:numId w:val="1018"/>
        </w:numPr>
        <w:pStyle w:val="Compact"/>
      </w:pPr>
      <w:r>
        <w:t xml:space="preserve">Acções correctivas planeadas;</w:t>
      </w:r>
    </w:p>
    <w:p>
      <w:pPr>
        <w:numPr>
          <w:ilvl w:val="0"/>
          <w:numId w:val="1018"/>
        </w:numPr>
        <w:pStyle w:val="Compact"/>
      </w:pPr>
      <w:r>
        <w:t xml:space="preserve">Executivo responsável e proprietário da ação;</w:t>
      </w:r>
    </w:p>
    <w:p>
      <w:pPr>
        <w:numPr>
          <w:ilvl w:val="0"/>
          <w:numId w:val="1018"/>
        </w:numPr>
        <w:pStyle w:val="Compact"/>
      </w:pPr>
      <w:r>
        <w:t xml:space="preserve">Dependências e recursos necessários;</w:t>
      </w:r>
    </w:p>
    <w:p>
      <w:pPr>
        <w:numPr>
          <w:ilvl w:val="0"/>
          <w:numId w:val="1018"/>
        </w:numPr>
        <w:pStyle w:val="Compact"/>
      </w:pPr>
      <w:r>
        <w:t xml:space="preserve">marcos e datas-alvo;</w:t>
      </w:r>
    </w:p>
    <w:p>
      <w:pPr>
        <w:numPr>
          <w:ilvl w:val="0"/>
          <w:numId w:val="1018"/>
        </w:numPr>
        <w:pStyle w:val="Compact"/>
      </w:pPr>
      <w:r>
        <w:t xml:space="preserve">Medidas de sucesso;</w:t>
      </w:r>
    </w:p>
    <w:p>
      <w:pPr>
        <w:numPr>
          <w:ilvl w:val="0"/>
          <w:numId w:val="1018"/>
        </w:numPr>
        <w:pStyle w:val="Compact"/>
      </w:pPr>
      <w:r>
        <w:t xml:space="preserve">Provas de encerramento esperadas;</w:t>
      </w:r>
    </w:p>
    <w:p>
      <w:pPr>
        <w:numPr>
          <w:ilvl w:val="0"/>
          <w:numId w:val="1018"/>
        </w:numPr>
        <w:pStyle w:val="Compact"/>
      </w:pPr>
      <w:r>
        <w:t xml:space="preserve">Risco residual após a conclusão;</w:t>
      </w:r>
    </w:p>
    <w:p>
      <w:pPr>
        <w:numPr>
          <w:ilvl w:val="0"/>
          <w:numId w:val="1018"/>
        </w:numPr>
        <w:pStyle w:val="Compact"/>
      </w:pPr>
      <w:r>
        <w:t xml:space="preserve">caminho de escalada;</w:t>
      </w:r>
    </w:p>
    <w:p>
      <w:pPr>
        <w:numPr>
          <w:ilvl w:val="0"/>
          <w:numId w:val="1018"/>
        </w:numPr>
        <w:pStyle w:val="Compact"/>
      </w:pPr>
      <w:r>
        <w:t xml:space="preserve">aprovação e mudança de história.</w:t>
      </w:r>
    </w:p>
    <w:bookmarkEnd w:id="62"/>
    <w:bookmarkStart w:id="63" w:name="X11eba27385d7b801fd4650c97c6dc7b55969243"/>
    <w:p>
      <w:pPr>
        <w:pStyle w:val="Heading2"/>
      </w:pPr>
      <w:r>
        <w:t xml:space="preserve">Correcção, contenção e medidas correctivas</w:t>
      </w:r>
    </w:p>
    <w:p>
      <w:pPr>
        <w:pStyle w:val="FirstParagraph"/>
      </w:pPr>
      <w:r>
        <w:t xml:space="preserve">Manter estes conceitos distintos:</w:t>
      </w:r>
    </w:p>
    <w:p>
      <w:pPr>
        <w:numPr>
          <w:ilvl w:val="0"/>
          <w:numId w:val="1019"/>
        </w:numPr>
        <w:pStyle w:val="Compact"/>
      </w:pPr>
      <w:r>
        <w:t xml:space="preserve">** Correction** corrige uma instância detectada, como desativar uma conta atrasada.</w:t>
      </w:r>
    </w:p>
    <w:p>
      <w:pPr>
        <w:numPr>
          <w:ilvl w:val="0"/>
          <w:numId w:val="1019"/>
        </w:numPr>
        <w:pStyle w:val="Compact"/>
      </w:pPr>
      <w:r>
        <w:rPr>
          <w:bCs/>
          <w:b/>
        </w:rPr>
        <w:t xml:space="preserve">Contenção</w:t>
      </w:r>
      <w:r>
        <w:t xml:space="preserve"> </w:t>
      </w:r>
      <w:r>
        <w:t xml:space="preserve">limita a exposição enquanto a solução permanente é desenvolvida.</w:t>
      </w:r>
    </w:p>
    <w:p>
      <w:pPr>
        <w:numPr>
          <w:ilvl w:val="0"/>
          <w:numId w:val="1019"/>
        </w:numPr>
        <w:pStyle w:val="Compact"/>
      </w:pPr>
      <w:r>
        <w:t xml:space="preserve">** A ação corretiva** altera o processo, controle, tecnologia, responsabilização ou monitoramento, portanto, a recorrência é menos provável.</w:t>
      </w:r>
    </w:p>
    <w:p>
      <w:pPr>
        <w:pStyle w:val="FirstParagraph"/>
      </w:pPr>
      <w:r>
        <w:t xml:space="preserve">Um plano que corrija apenas casos amostrados pode deixar a fraqueza subjacente intacta.</w:t>
      </w:r>
    </w:p>
    <w:bookmarkEnd w:id="63"/>
    <w:bookmarkStart w:id="64" w:name="projetar-ações-contra-a-causa"/>
    <w:p>
      <w:pPr>
        <w:pStyle w:val="Heading2"/>
      </w:pPr>
      <w:r>
        <w:t xml:space="preserve">Projetar ações contra a causa</w:t>
      </w:r>
    </w:p>
    <w:p>
      <w:pPr>
        <w:pStyle w:val="FirstParagraph"/>
      </w:pPr>
      <w:r>
        <w:t xml:space="preserve">Mapeie cada ação para a causa que ela aborda. Os exemplos incluem:</w:t>
      </w:r>
    </w:p>
    <w:p>
      <w:pPr>
        <w:numPr>
          <w:ilvl w:val="0"/>
          <w:numId w:val="1020"/>
        </w:numPr>
        <w:pStyle w:val="Compact"/>
      </w:pPr>
      <w:r>
        <w:t xml:space="preserve">clarificar os direitos de propriedade e de decisão;</w:t>
      </w:r>
    </w:p>
    <w:p>
      <w:pPr>
        <w:numPr>
          <w:ilvl w:val="0"/>
          <w:numId w:val="1020"/>
        </w:numPr>
        <w:pStyle w:val="Compact"/>
      </w:pPr>
      <w:r>
        <w:t xml:space="preserve">Rever as etapas do processo e as portas de aprovação;</w:t>
      </w:r>
    </w:p>
    <w:p>
      <w:pPr>
        <w:numPr>
          <w:ilvl w:val="0"/>
          <w:numId w:val="1020"/>
        </w:numPr>
        <w:pStyle w:val="Compact"/>
      </w:pPr>
      <w:r>
        <w:t xml:space="preserve">Automatizar um controlo manual com uma supervisão adequada;</w:t>
      </w:r>
    </w:p>
    <w:p>
      <w:pPr>
        <w:numPr>
          <w:ilvl w:val="0"/>
          <w:numId w:val="1020"/>
        </w:numPr>
        <w:pStyle w:val="Compact"/>
      </w:pPr>
      <w:r>
        <w:t xml:space="preserve">Fontes de dados autoritárias correctas;</w:t>
      </w:r>
    </w:p>
    <w:p>
      <w:pPr>
        <w:numPr>
          <w:ilvl w:val="0"/>
          <w:numId w:val="1020"/>
        </w:numPr>
        <w:pStyle w:val="Compact"/>
      </w:pPr>
      <w:r>
        <w:t xml:space="preserve">Reforçar o controlo e a comunicação de excepção;</w:t>
      </w:r>
    </w:p>
    <w:p>
      <w:pPr>
        <w:numPr>
          <w:ilvl w:val="0"/>
          <w:numId w:val="1020"/>
        </w:numPr>
        <w:pStyle w:val="Compact"/>
      </w:pPr>
      <w:r>
        <w:t xml:space="preserve">Rever os contratos ou os requisitos do fornecedor;</w:t>
      </w:r>
    </w:p>
    <w:p>
      <w:pPr>
        <w:numPr>
          <w:ilvl w:val="0"/>
          <w:numId w:val="1020"/>
        </w:numPr>
        <w:pStyle w:val="Compact"/>
      </w:pPr>
      <w:r>
        <w:t xml:space="preserve">Aditar capacidade, formação ou segregação de funções;</w:t>
      </w:r>
    </w:p>
    <w:p>
      <w:pPr>
        <w:numPr>
          <w:ilvl w:val="0"/>
          <w:numId w:val="1020"/>
        </w:numPr>
        <w:pStyle w:val="Compact"/>
      </w:pPr>
      <w:r>
        <w:t xml:space="preserve">Redesenhar a frequência ou a cobertura do controlo.</w:t>
      </w:r>
    </w:p>
    <w:p>
      <w:pPr>
        <w:pStyle w:val="FirstParagraph"/>
      </w:pPr>
      <w:r>
        <w:t xml:space="preserve">Evitar declarações de ação como</w:t>
      </w:r>
      <w:r>
        <w:t xml:space="preserve"> </w:t>
      </w:r>
      <w:r>
        <w:t xml:space="preserve">“</w:t>
      </w:r>
      <w:r>
        <w:t xml:space="preserve">melhorar o processo</w:t>
      </w:r>
      <w:r>
        <w:t xml:space="preserve">”</w:t>
      </w:r>
      <w:r>
        <w:t xml:space="preserve">,</w:t>
      </w:r>
      <w:r>
        <w:t xml:space="preserve"> </w:t>
      </w:r>
      <w:r>
        <w:t xml:space="preserve">“</w:t>
      </w:r>
      <w:r>
        <w:t xml:space="preserve">monitorar de perto</w:t>
      </w:r>
      <w:r>
        <w:t xml:space="preserve">”</w:t>
      </w:r>
      <w:r>
        <w:t xml:space="preserve"> </w:t>
      </w:r>
      <w:r>
        <w:t xml:space="preserve">ou</w:t>
      </w:r>
      <w:r>
        <w:t xml:space="preserve"> </w:t>
      </w:r>
      <w:r>
        <w:t xml:space="preserve">“</w:t>
      </w:r>
      <w:r>
        <w:t xml:space="preserve">trein staff</w:t>
      </w:r>
      <w:r>
        <w:t xml:space="preserve">”</w:t>
      </w:r>
      <w:r>
        <w:t xml:space="preserve"> </w:t>
      </w:r>
      <w:r>
        <w:t xml:space="preserve">sem critérios de conclusão mensuráveis.</w:t>
      </w:r>
    </w:p>
    <w:bookmarkEnd w:id="64"/>
    <w:bookmarkStart w:id="65" w:name="desenho-de-tons"/>
    <w:p>
      <w:pPr>
        <w:pStyle w:val="Heading2"/>
      </w:pPr>
      <w:r>
        <w:t xml:space="preserve">Desenho de tons</w:t>
      </w:r>
    </w:p>
    <w:p>
      <w:pPr>
        <w:pStyle w:val="FirstParagraph"/>
      </w:pPr>
      <w:r>
        <w:t xml:space="preserve">Use marcos que representam resultados verificáveis independentemente. Uma sequência prática pode incluir:</w:t>
      </w:r>
    </w:p>
    <w:p>
      <w:pPr>
        <w:numPr>
          <w:ilvl w:val="0"/>
          <w:numId w:val="1021"/>
        </w:numPr>
        <w:pStyle w:val="Compact"/>
      </w:pPr>
      <w:r>
        <w:t xml:space="preserve">Contenção implementada;</w:t>
      </w:r>
    </w:p>
    <w:p>
      <w:pPr>
        <w:numPr>
          <w:ilvl w:val="0"/>
          <w:numId w:val="1021"/>
        </w:numPr>
        <w:pStyle w:val="Compact"/>
      </w:pPr>
      <w:r>
        <w:t xml:space="preserve">Concepção da solução aprovada;</w:t>
      </w:r>
    </w:p>
    <w:p>
      <w:pPr>
        <w:numPr>
          <w:ilvl w:val="0"/>
          <w:numId w:val="1021"/>
        </w:numPr>
        <w:pStyle w:val="Compact"/>
      </w:pPr>
      <w:r>
        <w:t xml:space="preserve">configuração ou procedimento concluído;</w:t>
      </w:r>
    </w:p>
    <w:p>
      <w:pPr>
        <w:numPr>
          <w:ilvl w:val="0"/>
          <w:numId w:val="1021"/>
        </w:numPr>
        <w:pStyle w:val="Compact"/>
      </w:pPr>
      <w:r>
        <w:t xml:space="preserve">população corrigida;</w:t>
      </w:r>
    </w:p>
    <w:p>
      <w:pPr>
        <w:numPr>
          <w:ilvl w:val="0"/>
          <w:numId w:val="1021"/>
        </w:numPr>
        <w:pStyle w:val="Compact"/>
      </w:pPr>
      <w:r>
        <w:t xml:space="preserve">Monitorização activada;</w:t>
      </w:r>
    </w:p>
    <w:p>
      <w:pPr>
        <w:numPr>
          <w:ilvl w:val="0"/>
          <w:numId w:val="1021"/>
        </w:numPr>
        <w:pStyle w:val="Compact"/>
      </w:pPr>
      <w:r>
        <w:t xml:space="preserve">Período de funcionamento concluído;</w:t>
      </w:r>
    </w:p>
    <w:p>
      <w:pPr>
        <w:numPr>
          <w:ilvl w:val="0"/>
          <w:numId w:val="1021"/>
        </w:numPr>
        <w:pStyle w:val="Compact"/>
      </w:pPr>
      <w:r>
        <w:t xml:space="preserve">Os elementos de prova de encerramento apresentados;</w:t>
      </w:r>
    </w:p>
    <w:p>
      <w:pPr>
        <w:numPr>
          <w:ilvl w:val="0"/>
          <w:numId w:val="1021"/>
        </w:numPr>
        <w:pStyle w:val="Compact"/>
      </w:pPr>
      <w:r>
        <w:t xml:space="preserve">validação independente concluída.</w:t>
      </w:r>
    </w:p>
    <w:bookmarkEnd w:id="65"/>
    <w:bookmarkStart w:id="66" w:name="propriedade-e-responsabilização"/>
    <w:p>
      <w:pPr>
        <w:pStyle w:val="Heading2"/>
      </w:pPr>
      <w:r>
        <w:t xml:space="preserve">Propriedade e responsabilização</w:t>
      </w:r>
    </w:p>
    <w:p>
      <w:pPr>
        <w:pStyle w:val="FirstParagraph"/>
      </w:pPr>
      <w:r>
        <w:t xml:space="preserve">O proprietário executivo aceita a responsabilidade pela redução de risco e recursos. O proprietário da ação gerencia a execução. GRC, auditoria ou conformidade podem coordenar e desafiar, mas não devem silenciosamente tornar-se o proprietário da empresa.</w:t>
      </w:r>
    </w:p>
    <w:bookmarkEnd w:id="66"/>
    <w:bookmarkStart w:id="67" w:name="disciplina-de-data-limite"/>
    <w:p>
      <w:pPr>
        <w:pStyle w:val="Heading2"/>
      </w:pPr>
      <w:r>
        <w:t xml:space="preserve">Disciplina de data limite</w:t>
      </w:r>
    </w:p>
    <w:p>
      <w:pPr>
        <w:pStyle w:val="FirstParagraph"/>
      </w:pPr>
      <w:r>
        <w:t xml:space="preserve">Defina datas baseadas na gravidade, exposição, dependências e complexidade de implementação. As extensões devem exigir:</w:t>
      </w:r>
    </w:p>
    <w:p>
      <w:pPr>
        <w:numPr>
          <w:ilvl w:val="0"/>
          <w:numId w:val="1022"/>
        </w:numPr>
        <w:pStyle w:val="Compact"/>
      </w:pPr>
      <w:r>
        <w:t xml:space="preserve">Razão documentada;</w:t>
      </w:r>
    </w:p>
    <w:p>
      <w:pPr>
        <w:numPr>
          <w:ilvl w:val="0"/>
          <w:numId w:val="1022"/>
        </w:numPr>
        <w:pStyle w:val="Compact"/>
      </w:pPr>
      <w:r>
        <w:t xml:space="preserve">trabalho concluído e restante;</w:t>
      </w:r>
    </w:p>
    <w:p>
      <w:pPr>
        <w:numPr>
          <w:ilvl w:val="0"/>
          <w:numId w:val="1022"/>
        </w:numPr>
        <w:pStyle w:val="Compact"/>
      </w:pPr>
      <w:r>
        <w:t xml:space="preserve">Avaliação atualizada da exposição;</w:t>
      </w:r>
    </w:p>
    <w:p>
      <w:pPr>
        <w:numPr>
          <w:ilvl w:val="0"/>
          <w:numId w:val="1022"/>
        </w:numPr>
        <w:pStyle w:val="Compact"/>
      </w:pPr>
      <w:r>
        <w:t xml:space="preserve">Controlos intercalares;</w:t>
      </w:r>
    </w:p>
    <w:p>
      <w:pPr>
        <w:numPr>
          <w:ilvl w:val="0"/>
          <w:numId w:val="1022"/>
        </w:numPr>
        <w:pStyle w:val="Compact"/>
      </w:pPr>
      <w:r>
        <w:t xml:space="preserve">Os marcos revistos;</w:t>
      </w:r>
    </w:p>
    <w:p>
      <w:pPr>
        <w:numPr>
          <w:ilvl w:val="0"/>
          <w:numId w:val="1022"/>
        </w:numPr>
        <w:pStyle w:val="Compact"/>
      </w:pPr>
      <w:r>
        <w:t xml:space="preserve">Aprovação responsável;</w:t>
      </w:r>
    </w:p>
    <w:p>
      <w:pPr>
        <w:numPr>
          <w:ilvl w:val="0"/>
          <w:numId w:val="1022"/>
        </w:numPr>
        <w:pStyle w:val="Compact"/>
      </w:pPr>
      <w:r>
        <w:t xml:space="preserve">próxima data de revisão.</w:t>
      </w:r>
    </w:p>
    <w:p>
      <w:pPr>
        <w:pStyle w:val="FirstParagraph"/>
      </w:pPr>
      <w:r>
        <w:t xml:space="preserve">Extensões repetidas indicam um problema de governança e devem desencadear uma escalada.</w:t>
      </w:r>
    </w:p>
    <w:bookmarkEnd w:id="67"/>
    <w:bookmarkStart w:id="68" w:name="mudar-o-controlo"/>
    <w:p>
      <w:pPr>
        <w:pStyle w:val="Heading2"/>
      </w:pPr>
      <w:r>
        <w:t xml:space="preserve">Mudar o controlo</w:t>
      </w:r>
    </w:p>
    <w:p>
      <w:pPr>
        <w:pStyle w:val="FirstParagraph"/>
      </w:pPr>
      <w:r>
        <w:t xml:space="preserve">Os planos podem mudar quando os fatos, escopo, tecnologia ou dependências mudam. Preservar o compromisso original, histórico de revisão, lógica, aprovador e impacto no risco. Nunca sobrescreva compromissos perdidos sem uma pista de auditoria.</w:t>
      </w:r>
    </w:p>
    <w:bookmarkEnd w:id="68"/>
    <w:bookmarkStart w:id="69" w:name="gestão-de-recursos-e-dependências"/>
    <w:p>
      <w:pPr>
        <w:pStyle w:val="Heading2"/>
      </w:pPr>
      <w:r>
        <w:t xml:space="preserve">Gestão de recursos e dependências</w:t>
      </w:r>
    </w:p>
    <w:p>
      <w:pPr>
        <w:pStyle w:val="FirstParagraph"/>
      </w:pPr>
      <w:r>
        <w:t xml:space="preserve">Identificar financiamento, pessoal, compras, arquitetura, fornecedor, legal, privacidade, dados e dependências de janelas de mudança. Acompanhe as ações bloqueadas separadamente do trabalho não iniciado. Escale dependências não resolvidas antes da data de vencimento tornar-se inacessível.</w:t>
      </w:r>
    </w:p>
    <w:bookmarkEnd w:id="69"/>
    <w:bookmarkStart w:id="70" w:name="métricas"/>
    <w:p>
      <w:pPr>
        <w:pStyle w:val="Heading2"/>
      </w:pPr>
      <w:r>
        <w:t xml:space="preserve">Métricas</w:t>
      </w:r>
    </w:p>
    <w:p>
      <w:pPr>
        <w:pStyle w:val="FirstParagraph"/>
      </w:pPr>
      <w:r>
        <w:t xml:space="preserve">As métricas úteis de remediação incluem:</w:t>
      </w:r>
    </w:p>
    <w:p>
      <w:pPr>
        <w:numPr>
          <w:ilvl w:val="0"/>
          <w:numId w:val="1023"/>
        </w:numPr>
        <w:pStyle w:val="Compact"/>
      </w:pPr>
      <w:r>
        <w:t xml:space="preserve">conclusões abertas por gravidade e idade;</w:t>
      </w:r>
    </w:p>
    <w:p>
      <w:pPr>
        <w:numPr>
          <w:ilvl w:val="0"/>
          <w:numId w:val="1023"/>
        </w:numPr>
        <w:pStyle w:val="Compact"/>
      </w:pPr>
      <w:r>
        <w:t xml:space="preserve">ações e extensões atrasadas;</w:t>
      </w:r>
    </w:p>
    <w:p>
      <w:pPr>
        <w:numPr>
          <w:ilvl w:val="0"/>
          <w:numId w:val="1023"/>
        </w:numPr>
        <w:pStyle w:val="Compact"/>
      </w:pPr>
      <w:r>
        <w:t xml:space="preserve">Tempo desde a obtenção da aceitação até à aprovação do plano;</w:t>
      </w:r>
    </w:p>
    <w:p>
      <w:pPr>
        <w:numPr>
          <w:ilvl w:val="0"/>
          <w:numId w:val="1023"/>
        </w:numPr>
        <w:pStyle w:val="Compact"/>
      </w:pPr>
      <w:r>
        <w:t xml:space="preserve">Taxa de conclusão do marco;</w:t>
      </w:r>
    </w:p>
    <w:p>
      <w:pPr>
        <w:numPr>
          <w:ilvl w:val="0"/>
          <w:numId w:val="1023"/>
        </w:numPr>
        <w:pStyle w:val="Compact"/>
      </w:pPr>
      <w:r>
        <w:t xml:space="preserve">Repetir as constatações;</w:t>
      </w:r>
    </w:p>
    <w:p>
      <w:pPr>
        <w:numPr>
          <w:ilvl w:val="0"/>
          <w:numId w:val="1023"/>
        </w:numPr>
        <w:pStyle w:val="Compact"/>
      </w:pPr>
      <w:r>
        <w:t xml:space="preserve">Taxa de rejeição do encerramento;</w:t>
      </w:r>
    </w:p>
    <w:p>
      <w:pPr>
        <w:numPr>
          <w:ilvl w:val="0"/>
          <w:numId w:val="1023"/>
        </w:numPr>
        <w:pStyle w:val="Compact"/>
      </w:pPr>
      <w:r>
        <w:t xml:space="preserve">Os resultados reabertos após o encerramento;</w:t>
      </w:r>
    </w:p>
    <w:p>
      <w:pPr>
        <w:numPr>
          <w:ilvl w:val="0"/>
          <w:numId w:val="1023"/>
        </w:numPr>
        <w:pStyle w:val="Compact"/>
      </w:pPr>
      <w:r>
        <w:t xml:space="preserve">concentração por proprietário, processo, sistema ou causa;</w:t>
      </w:r>
    </w:p>
    <w:p>
      <w:pPr>
        <w:numPr>
          <w:ilvl w:val="0"/>
          <w:numId w:val="1023"/>
        </w:numPr>
        <w:pStyle w:val="Compact"/>
      </w:pPr>
      <w:r>
        <w:t xml:space="preserve">tendência de risco residual.</w:t>
      </w:r>
    </w:p>
    <w:p>
      <w:pPr>
        <w:pStyle w:val="FirstParagraph"/>
      </w:pPr>
      <w:r>
        <w:t xml:space="preserve">A métrica deve apoiar as decisões, não incentivar o encerramento superficial.</w:t>
      </w:r>
    </w:p>
    <w:bookmarkEnd w:id="70"/>
    <w:bookmarkStart w:id="71" w:name="X7444b32b8b4448c758ac590427e52b9bdcb1d14"/>
    <w:p>
      <w:pPr>
        <w:pStyle w:val="Heading2"/>
      </w:pPr>
      <w:r>
        <w:t xml:space="preserve">Aceitação do risco e tratamento alternativo</w:t>
      </w:r>
    </w:p>
    <w:p>
      <w:pPr>
        <w:pStyle w:val="FirstParagraph"/>
      </w:pPr>
      <w:r>
        <w:t xml:space="preserve">Quando a remediação é impraticável ou desproporcionada, a gestão pode escolher aceitação, transferência, evasão ou um controlo alternativo. A decisão deve manter-se explícita, dentro do tempo, se for caso disso, e aprovada ao nível de autoridade exigido pela governança de risco da organização.</w:t>
      </w:r>
    </w:p>
    <w:bookmarkEnd w:id="71"/>
    <w:bookmarkEnd w:id="72"/>
    <w:bookmarkStart w:id="84" w:name="X27613a9cc0622ff19ecab621a835400bae58ff3"/>
    <w:p>
      <w:pPr>
        <w:pStyle w:val="Heading1"/>
      </w:pPr>
      <w:r>
        <w:t xml:space="preserve">Validação e Sustentabilidade do Encerramento</w:t>
      </w:r>
    </w:p>
    <w:bookmarkStart w:id="73" w:name="objecto-2"/>
    <w:p>
      <w:pPr>
        <w:pStyle w:val="Heading2"/>
      </w:pPr>
      <w:r>
        <w:t xml:space="preserve">Objecto</w:t>
      </w:r>
    </w:p>
    <w:p>
      <w:pPr>
        <w:pStyle w:val="FirstParagraph"/>
      </w:pPr>
      <w:r>
        <w:t xml:space="preserve">A validação do encerramento determina se as medidas corretivas foram concluídas, abordam a constatação e a sua causa e operam de forma suficiente para reduzir o risco identificado. A conclusão das tarefas não é a mesma que a eficácia demonstrada.</w:t>
      </w:r>
    </w:p>
    <w:bookmarkEnd w:id="73"/>
    <w:bookmarkStart w:id="74" w:name="critérios-de-encerramento"/>
    <w:p>
      <w:pPr>
        <w:pStyle w:val="Heading2"/>
      </w:pPr>
      <w:r>
        <w:t xml:space="preserve">Critérios de encerramento</w:t>
      </w:r>
    </w:p>
    <w:p>
      <w:pPr>
        <w:pStyle w:val="FirstParagraph"/>
      </w:pPr>
      <w:r>
        <w:t xml:space="preserve">Definir critérios de encerramento quando o plano de remediação for aprovado. Os critérios devem identificar:</w:t>
      </w:r>
    </w:p>
    <w:p>
      <w:pPr>
        <w:numPr>
          <w:ilvl w:val="0"/>
          <w:numId w:val="1024"/>
        </w:numPr>
        <w:pStyle w:val="Compact"/>
      </w:pPr>
      <w:r>
        <w:t xml:space="preserve">Fornecimentos necessários;</w:t>
      </w:r>
    </w:p>
    <w:p>
      <w:pPr>
        <w:numPr>
          <w:ilvl w:val="0"/>
          <w:numId w:val="1024"/>
        </w:numPr>
        <w:pStyle w:val="Compact"/>
      </w:pPr>
      <w:r>
        <w:t xml:space="preserve">população ou âmbito afectado;</w:t>
      </w:r>
    </w:p>
    <w:p>
      <w:pPr>
        <w:numPr>
          <w:ilvl w:val="0"/>
          <w:numId w:val="1024"/>
        </w:numPr>
        <w:pStyle w:val="Compact"/>
      </w:pPr>
      <w:r>
        <w:t xml:space="preserve">Concepção de controlo prevista;</w:t>
      </w:r>
    </w:p>
    <w:p>
      <w:pPr>
        <w:numPr>
          <w:ilvl w:val="0"/>
          <w:numId w:val="1024"/>
        </w:numPr>
        <w:pStyle w:val="Compact"/>
      </w:pPr>
      <w:r>
        <w:t xml:space="preserve">Período de exploração exigido;</w:t>
      </w:r>
    </w:p>
    <w:p>
      <w:pPr>
        <w:numPr>
          <w:ilvl w:val="0"/>
          <w:numId w:val="1024"/>
        </w:numPr>
        <w:pStyle w:val="Compact"/>
      </w:pPr>
      <w:r>
        <w:t xml:space="preserve">Amostra ou método de ensaio;</w:t>
      </w:r>
    </w:p>
    <w:p>
      <w:pPr>
        <w:numPr>
          <w:ilvl w:val="0"/>
          <w:numId w:val="1024"/>
        </w:numPr>
        <w:pStyle w:val="Compact"/>
      </w:pPr>
      <w:r>
        <w:t xml:space="preserve">limiar de sucesso;</w:t>
      </w:r>
    </w:p>
    <w:p>
      <w:pPr>
        <w:numPr>
          <w:ilvl w:val="0"/>
          <w:numId w:val="1024"/>
        </w:numPr>
        <w:pStyle w:val="Compact"/>
      </w:pPr>
      <w:r>
        <w:t xml:space="preserve">Formato e proveniência dos elementos de prova;</w:t>
      </w:r>
    </w:p>
    <w:p>
      <w:pPr>
        <w:numPr>
          <w:ilvl w:val="0"/>
          <w:numId w:val="1024"/>
        </w:numPr>
        <w:pStyle w:val="Compact"/>
      </w:pPr>
      <w:r>
        <w:t xml:space="preserve">expectativa de risco residual;</w:t>
      </w:r>
    </w:p>
    <w:p>
      <w:pPr>
        <w:numPr>
          <w:ilvl w:val="0"/>
          <w:numId w:val="1024"/>
        </w:numPr>
        <w:pStyle w:val="Compact"/>
      </w:pPr>
      <w:r>
        <w:t xml:space="preserve">Autoridade de validação e de homologação.</w:t>
      </w:r>
    </w:p>
    <w:bookmarkEnd w:id="74"/>
    <w:bookmarkStart w:id="75" w:name="provas-de-encerramento"/>
    <w:p>
      <w:pPr>
        <w:pStyle w:val="Heading2"/>
      </w:pPr>
      <w:r>
        <w:t xml:space="preserve">Provas de encerramento</w:t>
      </w:r>
    </w:p>
    <w:p>
      <w:pPr>
        <w:pStyle w:val="FirstParagraph"/>
      </w:pPr>
      <w:r>
        <w:t xml:space="preserve">Dependendo da questão, as provas podem incluir:</w:t>
      </w:r>
    </w:p>
    <w:p>
      <w:pPr>
        <w:numPr>
          <w:ilvl w:val="0"/>
          <w:numId w:val="1025"/>
        </w:numPr>
        <w:pStyle w:val="Compact"/>
      </w:pPr>
      <w:r>
        <w:t xml:space="preserve">Políticas e procedimentos aprovados;</w:t>
      </w:r>
    </w:p>
    <w:p>
      <w:pPr>
        <w:numPr>
          <w:ilvl w:val="0"/>
          <w:numId w:val="1025"/>
        </w:numPr>
        <w:pStyle w:val="Compact"/>
      </w:pPr>
      <w:r>
        <w:t xml:space="preserve">exportações de configuração;</w:t>
      </w:r>
    </w:p>
    <w:p>
      <w:pPr>
        <w:numPr>
          <w:ilvl w:val="0"/>
          <w:numId w:val="1025"/>
        </w:numPr>
        <w:pStyle w:val="Compact"/>
      </w:pPr>
      <w:r>
        <w:t xml:space="preserve">Relatórios populacionais;</w:t>
      </w:r>
    </w:p>
    <w:p>
      <w:pPr>
        <w:numPr>
          <w:ilvl w:val="0"/>
          <w:numId w:val="1025"/>
        </w:numPr>
        <w:pStyle w:val="Compact"/>
      </w:pPr>
      <w:r>
        <w:t xml:space="preserve">Registos de execução;</w:t>
      </w:r>
    </w:p>
    <w:p>
      <w:pPr>
        <w:numPr>
          <w:ilvl w:val="0"/>
          <w:numId w:val="1025"/>
        </w:numPr>
        <w:pStyle w:val="Compact"/>
      </w:pPr>
      <w:r>
        <w:t xml:space="preserve">Registos gerados pelo sistema;</w:t>
      </w:r>
    </w:p>
    <w:p>
      <w:pPr>
        <w:numPr>
          <w:ilvl w:val="0"/>
          <w:numId w:val="1025"/>
        </w:numPr>
        <w:pStyle w:val="Compact"/>
      </w:pPr>
      <w:r>
        <w:t xml:space="preserve">revisões de acesso concluídas;</w:t>
      </w:r>
    </w:p>
    <w:p>
      <w:pPr>
        <w:numPr>
          <w:ilvl w:val="0"/>
          <w:numId w:val="1025"/>
        </w:numPr>
        <w:pStyle w:val="Compact"/>
      </w:pPr>
      <w:r>
        <w:t xml:space="preserve">Scripts de teste e resultados;</w:t>
      </w:r>
    </w:p>
    <w:p>
      <w:pPr>
        <w:numPr>
          <w:ilvl w:val="0"/>
          <w:numId w:val="1025"/>
        </w:numPr>
        <w:pStyle w:val="Compact"/>
      </w:pPr>
      <w:r>
        <w:t xml:space="preserve">Registos de formação;</w:t>
      </w:r>
    </w:p>
    <w:p>
      <w:pPr>
        <w:numPr>
          <w:ilvl w:val="0"/>
          <w:numId w:val="1025"/>
        </w:numPr>
        <w:pStyle w:val="Compact"/>
      </w:pPr>
      <w:r>
        <w:t xml:space="preserve">Painéis de monitorização;</w:t>
      </w:r>
    </w:p>
    <w:p>
      <w:pPr>
        <w:numPr>
          <w:ilvl w:val="0"/>
          <w:numId w:val="1025"/>
        </w:numPr>
        <w:pStyle w:val="Compact"/>
      </w:pPr>
      <w:r>
        <w:t xml:space="preserve">Relatórios de exceção;</w:t>
      </w:r>
    </w:p>
    <w:p>
      <w:pPr>
        <w:numPr>
          <w:ilvl w:val="0"/>
          <w:numId w:val="1025"/>
        </w:numPr>
        <w:pStyle w:val="Compact"/>
      </w:pPr>
      <w:r>
        <w:t xml:space="preserve">Confirmações do vendedor;</w:t>
      </w:r>
    </w:p>
    <w:p>
      <w:pPr>
        <w:numPr>
          <w:ilvl w:val="0"/>
          <w:numId w:val="1025"/>
        </w:numPr>
        <w:pStyle w:val="Compact"/>
      </w:pPr>
      <w:r>
        <w:t xml:space="preserve">As aprovações de gestão;</w:t>
      </w:r>
    </w:p>
    <w:p>
      <w:pPr>
        <w:numPr>
          <w:ilvl w:val="0"/>
          <w:numId w:val="1025"/>
        </w:numPr>
        <w:pStyle w:val="Compact"/>
      </w:pPr>
      <w:r>
        <w:t xml:space="preserve">provas de uma operação sustentada.</w:t>
      </w:r>
    </w:p>
    <w:p>
      <w:pPr>
        <w:pStyle w:val="FirstParagraph"/>
      </w:pPr>
      <w:r>
        <w:t xml:space="preserve">As provas devem ser actuais, completas, rastreáveis para o sistema ou processo relevante e protegidas de acordo com a sensibilidade.</w:t>
      </w:r>
    </w:p>
    <w:bookmarkEnd w:id="75"/>
    <w:bookmarkStart w:id="76" w:name="validação-independente"/>
    <w:p>
      <w:pPr>
        <w:pStyle w:val="Heading2"/>
      </w:pPr>
      <w:r>
        <w:t xml:space="preserve">Validação independente</w:t>
      </w:r>
    </w:p>
    <w:p>
      <w:pPr>
        <w:pStyle w:val="FirstParagraph"/>
      </w:pPr>
      <w:r>
        <w:t xml:space="preserve">O validador deve ter competência e independência suficientes da pessoa que realizou o trabalho. A independência pode ser organizacional, de supervisão ou processual, dependendo do risco e dos recursos disponíveis. O validador não deve aprovar o encerramento apenas a partir do resumo do proprietário da ação.</w:t>
      </w:r>
    </w:p>
    <w:bookmarkEnd w:id="76"/>
    <w:bookmarkStart w:id="77" w:name="métodos-de-validação"/>
    <w:p>
      <w:pPr>
        <w:pStyle w:val="Heading2"/>
      </w:pPr>
      <w:r>
        <w:t xml:space="preserve">Métodos de validação</w:t>
      </w:r>
    </w:p>
    <w:p>
      <w:pPr>
        <w:pStyle w:val="FirstParagraph"/>
      </w:pPr>
      <w:r>
        <w:t xml:space="preserve">Utilizar um ou mais dos seguintes elementos:</w:t>
      </w:r>
    </w:p>
    <w:p>
      <w:pPr>
        <w:numPr>
          <w:ilvl w:val="0"/>
          <w:numId w:val="1026"/>
        </w:numPr>
        <w:pStyle w:val="Compact"/>
      </w:pPr>
      <w:r>
        <w:t xml:space="preserve">Inspecção dos documentos e configuração;</w:t>
      </w:r>
    </w:p>
    <w:p>
      <w:pPr>
        <w:numPr>
          <w:ilvl w:val="0"/>
          <w:numId w:val="1026"/>
        </w:numPr>
        <w:pStyle w:val="Compact"/>
      </w:pPr>
      <w:r>
        <w:t xml:space="preserve">inquérito corroborado por registos;</w:t>
      </w:r>
    </w:p>
    <w:p>
      <w:pPr>
        <w:numPr>
          <w:ilvl w:val="0"/>
          <w:numId w:val="1026"/>
        </w:numPr>
        <w:pStyle w:val="Compact"/>
      </w:pPr>
      <w:r>
        <w:t xml:space="preserve">Observação da execução do processo;</w:t>
      </w:r>
    </w:p>
    <w:p>
      <w:pPr>
        <w:numPr>
          <w:ilvl w:val="0"/>
          <w:numId w:val="1026"/>
        </w:numPr>
        <w:pStyle w:val="Compact"/>
      </w:pPr>
      <w:r>
        <w:t xml:space="preserve">Repercussão;</w:t>
      </w:r>
    </w:p>
    <w:p>
      <w:pPr>
        <w:numPr>
          <w:ilvl w:val="0"/>
          <w:numId w:val="1026"/>
        </w:numPr>
        <w:pStyle w:val="Compact"/>
      </w:pPr>
      <w:r>
        <w:t xml:space="preserve">Análise populacional;</w:t>
      </w:r>
    </w:p>
    <w:p>
      <w:pPr>
        <w:numPr>
          <w:ilvl w:val="0"/>
          <w:numId w:val="1026"/>
        </w:numPr>
        <w:pStyle w:val="Compact"/>
      </w:pPr>
      <w:r>
        <w:t xml:space="preserve">Amostragem representativa;</w:t>
      </w:r>
    </w:p>
    <w:p>
      <w:pPr>
        <w:numPr>
          <w:ilvl w:val="0"/>
          <w:numId w:val="1026"/>
        </w:numPr>
        <w:pStyle w:val="Compact"/>
      </w:pPr>
      <w:r>
        <w:t xml:space="preserve">Ensaios de excepção;</w:t>
      </w:r>
    </w:p>
    <w:p>
      <w:pPr>
        <w:numPr>
          <w:ilvl w:val="0"/>
          <w:numId w:val="1026"/>
        </w:numPr>
        <w:pStyle w:val="Compact"/>
      </w:pPr>
      <w:r>
        <w:t xml:space="preserve">Comparação com o projecto aprovado;</w:t>
      </w:r>
    </w:p>
    <w:p>
      <w:pPr>
        <w:numPr>
          <w:ilvl w:val="0"/>
          <w:numId w:val="1026"/>
        </w:numPr>
        <w:pStyle w:val="Compact"/>
      </w:pPr>
      <w:r>
        <w:t xml:space="preserve">revisão da tendência durante um período de funcionamento.</w:t>
      </w:r>
    </w:p>
    <w:bookmarkEnd w:id="77"/>
    <w:bookmarkStart w:id="78" w:name="concepção-e-eficácia-operacional"/>
    <w:p>
      <w:pPr>
        <w:pStyle w:val="Heading2"/>
      </w:pPr>
      <w:r>
        <w:t xml:space="preserve">Concepção e eficácia operacional</w:t>
      </w:r>
    </w:p>
    <w:p>
      <w:pPr>
        <w:pStyle w:val="FirstParagraph"/>
      </w:pPr>
      <w:r>
        <w:t xml:space="preserve">Um controlo reformulado pode ser adequado no conceito, mas ainda não demonstrado em funcionamento. Quando a questão diz respeito à eficácia operacional, exigem provas que abranjam um período e uma população adequados. Uma única execução bem sucedida pode não suportar o fechamento para um controle recorrente.</w:t>
      </w:r>
    </w:p>
    <w:bookmarkEnd w:id="78"/>
    <w:bookmarkStart w:id="79" w:name="resultados-do-encerramento"/>
    <w:p>
      <w:pPr>
        <w:pStyle w:val="Heading2"/>
      </w:pPr>
      <w:r>
        <w:t xml:space="preserve">Resultados do encerramento</w:t>
      </w:r>
    </w:p>
    <w:p>
      <w:pPr>
        <w:pStyle w:val="FirstParagraph"/>
      </w:pPr>
      <w:r>
        <w:t xml:space="preserve">Utilizar resultados controlados como:</w:t>
      </w:r>
    </w:p>
    <w:p>
      <w:pPr>
        <w:numPr>
          <w:ilvl w:val="0"/>
          <w:numId w:val="1027"/>
        </w:numPr>
        <w:pStyle w:val="Compact"/>
      </w:pPr>
      <w:r>
        <w:rPr>
          <w:bCs/>
          <w:b/>
        </w:rPr>
        <w:t xml:space="preserve">Fechado – eficaz:</w:t>
      </w:r>
      <w:r>
        <w:t xml:space="preserve"> </w:t>
      </w:r>
      <w:r>
        <w:t xml:space="preserve">critérios preenchidos e risco reduzido conforme esperado.</w:t>
      </w:r>
    </w:p>
    <w:p>
      <w:pPr>
        <w:numPr>
          <w:ilvl w:val="0"/>
          <w:numId w:val="1027"/>
        </w:numPr>
        <w:pStyle w:val="Compact"/>
      </w:pPr>
      <w:r>
        <w:rPr>
          <w:bCs/>
          <w:b/>
        </w:rPr>
        <w:t xml:space="preserve">Fechado — risco residual aceite:</w:t>
      </w:r>
      <w:r>
        <w:t xml:space="preserve"> </w:t>
      </w:r>
      <w:r>
        <w:t xml:space="preserve">ações concluídas, exposição remanescente explicitamente aceita.</w:t>
      </w:r>
    </w:p>
    <w:p>
      <w:pPr>
        <w:numPr>
          <w:ilvl w:val="0"/>
          <w:numId w:val="1027"/>
        </w:numPr>
        <w:pStyle w:val="Compact"/>
      </w:pPr>
      <w:r>
        <w:t xml:space="preserve">** parcialmente remediado:** alguns critérios preenchidos; restante trabalho rastreado.</w:t>
      </w:r>
    </w:p>
    <w:p>
      <w:pPr>
        <w:numPr>
          <w:ilvl w:val="0"/>
          <w:numId w:val="1027"/>
        </w:numPr>
        <w:pStyle w:val="Compact"/>
      </w:pPr>
      <w:r>
        <w:t xml:space="preserve">** A validação falhou:** evidência ou desempenho não suporta o fechamento.</w:t>
      </w:r>
    </w:p>
    <w:p>
      <w:pPr>
        <w:numPr>
          <w:ilvl w:val="0"/>
          <w:numId w:val="1027"/>
        </w:numPr>
        <w:pStyle w:val="Compact"/>
      </w:pPr>
      <w:r>
        <w:t xml:space="preserve">** Reaberto:** problema previamente fechado recorrente ou evidência de fechamento foi materialmente incompleta.</w:t>
      </w:r>
    </w:p>
    <w:p>
      <w:pPr>
        <w:numPr>
          <w:ilvl w:val="0"/>
          <w:numId w:val="1027"/>
        </w:numPr>
        <w:pStyle w:val="Compact"/>
      </w:pPr>
      <w:r>
        <w:t xml:space="preserve">** Superado:** substituído por um achado consolidado aprovado ou requisito formalmente alterado, com rastreabilidade preservada.</w:t>
      </w:r>
    </w:p>
    <w:bookmarkEnd w:id="79"/>
    <w:bookmarkStart w:id="80" w:name="memorando-de-encerramento"/>
    <w:p>
      <w:pPr>
        <w:pStyle w:val="Heading2"/>
      </w:pPr>
      <w:r>
        <w:t xml:space="preserve">Memorando de encerramento</w:t>
      </w:r>
    </w:p>
    <w:p>
      <w:pPr>
        <w:pStyle w:val="FirstParagraph"/>
      </w:pPr>
      <w:r>
        <w:t xml:space="preserve">O registo de encerramento deve indicar:</w:t>
      </w:r>
    </w:p>
    <w:p>
      <w:pPr>
        <w:numPr>
          <w:ilvl w:val="0"/>
          <w:numId w:val="1028"/>
        </w:numPr>
        <w:pStyle w:val="Compact"/>
      </w:pPr>
      <w:r>
        <w:t xml:space="preserve">Identificadores de detecção e de plano;</w:t>
      </w:r>
    </w:p>
    <w:p>
      <w:pPr>
        <w:numPr>
          <w:ilvl w:val="0"/>
          <w:numId w:val="1028"/>
        </w:numPr>
        <w:pStyle w:val="Compact"/>
      </w:pPr>
      <w:r>
        <w:t xml:space="preserve">Trabalhos concluídos;</w:t>
      </w:r>
    </w:p>
    <w:p>
      <w:pPr>
        <w:numPr>
          <w:ilvl w:val="0"/>
          <w:numId w:val="1028"/>
        </w:numPr>
        <w:pStyle w:val="Compact"/>
      </w:pPr>
      <w:r>
        <w:t xml:space="preserve">Os elementos de prova revistos;</w:t>
      </w:r>
    </w:p>
    <w:p>
      <w:pPr>
        <w:numPr>
          <w:ilvl w:val="0"/>
          <w:numId w:val="1028"/>
        </w:numPr>
        <w:pStyle w:val="Compact"/>
      </w:pPr>
      <w:r>
        <w:t xml:space="preserve">Procedimentos de validação;</w:t>
      </w:r>
    </w:p>
    <w:p>
      <w:pPr>
        <w:numPr>
          <w:ilvl w:val="0"/>
          <w:numId w:val="1028"/>
        </w:numPr>
        <w:pStyle w:val="Compact"/>
      </w:pPr>
      <w:r>
        <w:t xml:space="preserve">Amostra e período;</w:t>
      </w:r>
    </w:p>
    <w:p>
      <w:pPr>
        <w:numPr>
          <w:ilvl w:val="0"/>
          <w:numId w:val="1028"/>
        </w:numPr>
        <w:pStyle w:val="Compact"/>
      </w:pPr>
      <w:r>
        <w:t xml:space="preserve">Resultados e excepções;</w:t>
      </w:r>
    </w:p>
    <w:p>
      <w:pPr>
        <w:numPr>
          <w:ilvl w:val="0"/>
          <w:numId w:val="1028"/>
        </w:numPr>
        <w:pStyle w:val="Compact"/>
      </w:pPr>
      <w:r>
        <w:t xml:space="preserve">Risco residual;</w:t>
      </w:r>
    </w:p>
    <w:p>
      <w:pPr>
        <w:numPr>
          <w:ilvl w:val="0"/>
          <w:numId w:val="1028"/>
        </w:numPr>
        <w:pStyle w:val="Compact"/>
      </w:pPr>
      <w:r>
        <w:t xml:space="preserve">Conclusão;</w:t>
      </w:r>
    </w:p>
    <w:p>
      <w:pPr>
        <w:numPr>
          <w:ilvl w:val="0"/>
          <w:numId w:val="1028"/>
        </w:numPr>
        <w:pStyle w:val="Compact"/>
      </w:pPr>
      <w:r>
        <w:t xml:space="preserve">Validador;</w:t>
      </w:r>
    </w:p>
    <w:p>
      <w:pPr>
        <w:numPr>
          <w:ilvl w:val="0"/>
          <w:numId w:val="1028"/>
        </w:numPr>
        <w:pStyle w:val="Compact"/>
      </w:pPr>
      <w:r>
        <w:t xml:space="preserve">Data de aprovação;</w:t>
      </w:r>
    </w:p>
    <w:p>
      <w:pPr>
        <w:numPr>
          <w:ilvl w:val="0"/>
          <w:numId w:val="1028"/>
        </w:numPr>
        <w:pStyle w:val="Compact"/>
      </w:pPr>
      <w:r>
        <w:t xml:space="preserve">acompanhamento.</w:t>
      </w:r>
    </w:p>
    <w:bookmarkEnd w:id="80"/>
    <w:bookmarkStart w:id="81" w:name="revisão-da-sustentabilidade"/>
    <w:p>
      <w:pPr>
        <w:pStyle w:val="Heading2"/>
      </w:pPr>
      <w:r>
        <w:t xml:space="preserve">Revisão da sustentabilidade</w:t>
      </w:r>
    </w:p>
    <w:p>
      <w:pPr>
        <w:pStyle w:val="FirstParagraph"/>
      </w:pPr>
      <w:r>
        <w:t xml:space="preserve">Para achados de alto risco ou sistêmicos, agendar uma revisão pós-encerramento. Confirme que:</w:t>
      </w:r>
    </w:p>
    <w:p>
      <w:pPr>
        <w:numPr>
          <w:ilvl w:val="0"/>
          <w:numId w:val="1029"/>
        </w:numPr>
        <w:pStyle w:val="Compact"/>
      </w:pPr>
      <w:r>
        <w:t xml:space="preserve">O controlo continua a funcionar;</w:t>
      </w:r>
    </w:p>
    <w:p>
      <w:pPr>
        <w:numPr>
          <w:ilvl w:val="0"/>
          <w:numId w:val="1029"/>
        </w:numPr>
        <w:pStyle w:val="Compact"/>
      </w:pPr>
      <w:r>
        <w:t xml:space="preserve">A propriedade mantém-se activa;</w:t>
      </w:r>
    </w:p>
    <w:p>
      <w:pPr>
        <w:numPr>
          <w:ilvl w:val="0"/>
          <w:numId w:val="1029"/>
        </w:numPr>
        <w:pStyle w:val="Compact"/>
      </w:pPr>
      <w:r>
        <w:t xml:space="preserve">A monitorização detecta excepções;</w:t>
      </w:r>
    </w:p>
    <w:p>
      <w:pPr>
        <w:numPr>
          <w:ilvl w:val="0"/>
          <w:numId w:val="1029"/>
        </w:numPr>
        <w:pStyle w:val="Compact"/>
      </w:pPr>
      <w:r>
        <w:t xml:space="preserve">os controlos temporários foram devidamente retirados;</w:t>
      </w:r>
    </w:p>
    <w:p>
      <w:pPr>
        <w:numPr>
          <w:ilvl w:val="0"/>
          <w:numId w:val="1029"/>
        </w:numPr>
        <w:pStyle w:val="Compact"/>
      </w:pPr>
      <w:r>
        <w:t xml:space="preserve">As alterações do processo não introduziram novos riscos;</w:t>
      </w:r>
    </w:p>
    <w:p>
      <w:pPr>
        <w:numPr>
          <w:ilvl w:val="0"/>
          <w:numId w:val="1029"/>
        </w:numPr>
        <w:pStyle w:val="Compact"/>
      </w:pPr>
      <w:r>
        <w:t xml:space="preserve">foram incluídas populações e sistemas relacionados;</w:t>
      </w:r>
    </w:p>
    <w:p>
      <w:pPr>
        <w:numPr>
          <w:ilvl w:val="0"/>
          <w:numId w:val="1029"/>
        </w:numPr>
        <w:pStyle w:val="Compact"/>
      </w:pPr>
      <w:r>
        <w:t xml:space="preserve">métricas não mostram deterioração.</w:t>
      </w:r>
    </w:p>
    <w:bookmarkEnd w:id="81"/>
    <w:bookmarkStart w:id="82" w:name="resultados-repetidos"/>
    <w:p>
      <w:pPr>
        <w:pStyle w:val="Heading2"/>
      </w:pPr>
      <w:r>
        <w:t xml:space="preserve">Resultados repetidos</w:t>
      </w:r>
    </w:p>
    <w:p>
      <w:pPr>
        <w:pStyle w:val="FirstParagraph"/>
      </w:pPr>
      <w:r>
        <w:t xml:space="preserve">Um achado repetido pode indicar análise de causas radiculares ineficazes, escopo restrito, fraca governança, testes inadequados ou fechamento prematuro. Recorrência da escada e reavaliar os achados relacionados em vez de tratar cada instância de forma independente.</w:t>
      </w:r>
    </w:p>
    <w:bookmarkEnd w:id="82"/>
    <w:bookmarkStart w:id="83" w:name="registos-e-retenção"/>
    <w:p>
      <w:pPr>
        <w:pStyle w:val="Heading2"/>
      </w:pPr>
      <w:r>
        <w:t xml:space="preserve">Registos e retenção</w:t>
      </w:r>
    </w:p>
    <w:p>
      <w:pPr>
        <w:pStyle w:val="FirstParagraph"/>
      </w:pPr>
      <w:r>
        <w:t xml:space="preserve">Preservar provas de encerramento, decisões, registos de testes, aprovações e correspondência de acordo com os requisitos legais, regulamentares, contratuais, de auditoria, de detenção de litígios e de gestão de registos. Aplicar restrições de acesso e eliminação segura quando a retenção expira.</w:t>
      </w:r>
    </w:p>
    <w:bookmarkEnd w:id="83"/>
    <w:bookmarkEnd w:id="84"/>
    <w:bookmarkStart w:id="109" w:name="X194678795bdf74dafeeaa7bcc09202602f6acb6"/>
    <w:p>
      <w:pPr>
        <w:pStyle w:val="Heading1"/>
      </w:pPr>
      <w:r>
        <w:t xml:space="preserve">Relatórios, Procedimento Operacional e Exemplo Trabalho</w:t>
      </w:r>
    </w:p>
    <w:bookmarkStart w:id="85" w:name="relatórios-executivos"/>
    <w:p>
      <w:pPr>
        <w:pStyle w:val="Heading2"/>
      </w:pPr>
      <w:r>
        <w:t xml:space="preserve">Relatórios executivos</w:t>
      </w:r>
    </w:p>
    <w:p>
      <w:pPr>
        <w:pStyle w:val="FirstParagraph"/>
      </w:pPr>
      <w:r>
        <w:t xml:space="preserve">Relatórios de prontidão e remediação devem apoiar decisões sobre risco, recursos, timing e responsabilidade. Evite painéis que mostram apenas conta sem gravidade, idade, exposição, propriedade ou tendência.</w:t>
      </w:r>
    </w:p>
    <w:p>
      <w:pPr>
        <w:pStyle w:val="BodyText"/>
      </w:pPr>
      <w:r>
        <w:t xml:space="preserve">Uma visão executiva útil inclui:</w:t>
      </w:r>
    </w:p>
    <w:p>
      <w:pPr>
        <w:numPr>
          <w:ilvl w:val="0"/>
          <w:numId w:val="1030"/>
        </w:numPr>
        <w:pStyle w:val="Compact"/>
      </w:pPr>
      <w:r>
        <w:t xml:space="preserve">Âmbito de avaliação e actual capacidade de confiança;</w:t>
      </w:r>
    </w:p>
    <w:p>
      <w:pPr>
        <w:numPr>
          <w:ilvl w:val="0"/>
          <w:numId w:val="1030"/>
        </w:numPr>
        <w:pStyle w:val="Compact"/>
      </w:pPr>
      <w:r>
        <w:t xml:space="preserve">conclusões abertas por gravidade e idade;</w:t>
      </w:r>
    </w:p>
    <w:p>
      <w:pPr>
        <w:numPr>
          <w:ilvl w:val="0"/>
          <w:numId w:val="1030"/>
        </w:numPr>
        <w:pStyle w:val="Compact"/>
      </w:pPr>
      <w:r>
        <w:t xml:space="preserve">ações atrasadas e prolongadas;</w:t>
      </w:r>
    </w:p>
    <w:p>
      <w:pPr>
        <w:numPr>
          <w:ilvl w:val="0"/>
          <w:numId w:val="1030"/>
        </w:numPr>
        <w:pStyle w:val="Compact"/>
      </w:pPr>
      <w:r>
        <w:t xml:space="preserve">dependências críticas e restrições de recursos;</w:t>
      </w:r>
    </w:p>
    <w:p>
      <w:pPr>
        <w:numPr>
          <w:ilvl w:val="0"/>
          <w:numId w:val="1030"/>
        </w:numPr>
        <w:pStyle w:val="Compact"/>
      </w:pPr>
      <w:r>
        <w:t xml:space="preserve">Constatações repetidas ou reabertas;</w:t>
      </w:r>
    </w:p>
    <w:p>
      <w:pPr>
        <w:numPr>
          <w:ilvl w:val="0"/>
          <w:numId w:val="1030"/>
        </w:numPr>
        <w:pStyle w:val="Compact"/>
      </w:pPr>
      <w:r>
        <w:t xml:space="preserve">Concentração de risco residual;</w:t>
      </w:r>
    </w:p>
    <w:p>
      <w:pPr>
        <w:numPr>
          <w:ilvl w:val="0"/>
          <w:numId w:val="1030"/>
        </w:numPr>
        <w:pStyle w:val="Compact"/>
      </w:pPr>
      <w:r>
        <w:t xml:space="preserve">auditorias, certificações, avaliações de clientes ou marcos regulatórios;</w:t>
      </w:r>
    </w:p>
    <w:p>
      <w:pPr>
        <w:numPr>
          <w:ilvl w:val="0"/>
          <w:numId w:val="1030"/>
        </w:numPr>
        <w:pStyle w:val="Compact"/>
      </w:pPr>
      <w:r>
        <w:t xml:space="preserve">As decisões exigidas pela liderança.</w:t>
      </w:r>
    </w:p>
    <w:bookmarkEnd w:id="85"/>
    <w:bookmarkStart w:id="86" w:name="cadência-operacional"/>
    <w:p>
      <w:pPr>
        <w:pStyle w:val="Heading2"/>
      </w:pPr>
      <w:r>
        <w:t xml:space="preserve">Cadência operacional</w:t>
      </w:r>
    </w:p>
    <w:p>
      <w:pPr>
        <w:pStyle w:val="FirstParagraph"/>
      </w:pPr>
      <w:r>
        <w:t xml:space="preserve">Uma cadência prática pode incluir:</w:t>
      </w:r>
    </w:p>
    <w:p>
      <w:pPr>
        <w:numPr>
          <w:ilvl w:val="0"/>
          <w:numId w:val="1031"/>
        </w:numPr>
        <w:pStyle w:val="Compact"/>
      </w:pPr>
      <w:r>
        <w:t xml:space="preserve">revisão semanal do proprietário da ação para conclusões críticas e elevadas;</w:t>
      </w:r>
    </w:p>
    <w:p>
      <w:pPr>
        <w:numPr>
          <w:ilvl w:val="0"/>
          <w:numId w:val="1031"/>
        </w:numPr>
        <w:pStyle w:val="Compact"/>
      </w:pPr>
      <w:r>
        <w:t xml:space="preserve">Reunião mensal de gestão da remediação;</w:t>
      </w:r>
    </w:p>
    <w:p>
      <w:pPr>
        <w:numPr>
          <w:ilvl w:val="0"/>
          <w:numId w:val="1031"/>
        </w:numPr>
        <w:pStyle w:val="Compact"/>
      </w:pPr>
      <w:r>
        <w:t xml:space="preserve">Relatórios trimestrais do executivo ou do comité de risco;</w:t>
      </w:r>
    </w:p>
    <w:p>
      <w:pPr>
        <w:numPr>
          <w:ilvl w:val="0"/>
          <w:numId w:val="1031"/>
        </w:numPr>
        <w:pStyle w:val="Compact"/>
      </w:pPr>
      <w:r>
        <w:t xml:space="preserve">escalonamento orientado por eventos para marcos críticos perdidos, mudanças no escopo do material, testes de fechamento falhados ou nova exposição.</w:t>
      </w:r>
    </w:p>
    <w:p>
      <w:pPr>
        <w:pStyle w:val="FirstParagraph"/>
      </w:pPr>
      <w:r>
        <w:t xml:space="preserve">Registros de reuniões devem capturar decisões, proprietários, datas de vencimento e opiniões divergentes.</w:t>
      </w:r>
    </w:p>
    <w:bookmarkEnd w:id="86"/>
    <w:bookmarkStart w:id="96" w:name="X4812d92d6cc90acde5a27ca6f12c6e15d5412be"/>
    <w:p>
      <w:pPr>
        <w:pStyle w:val="Heading2"/>
      </w:pPr>
      <w:r>
        <w:t xml:space="preserve">Procedimento operacional de ponta a ponta</w:t>
      </w:r>
    </w:p>
    <w:bookmarkStart w:id="87" w:name="etapa-1-autorizar-a-revisão-da-prontidão"/>
    <w:p>
      <w:pPr>
        <w:pStyle w:val="Heading3"/>
      </w:pPr>
      <w:r>
        <w:t xml:space="preserve">Etapa 1 — Autorizar a revisão da prontidão</w:t>
      </w:r>
    </w:p>
    <w:p>
      <w:pPr>
        <w:pStyle w:val="FirstParagraph"/>
      </w:pPr>
      <w:r>
        <w:t xml:space="preserve">Confirmar patrocinador, objetivo, critérios, escopo, período, sistemas, locais, stakeholders, expectativas de independência e rota de comunicação.</w:t>
      </w:r>
    </w:p>
    <w:bookmarkEnd w:id="87"/>
    <w:bookmarkStart w:id="88" w:name="X5ebfd888ab06ed9e6d3f1c26202cecf48ecdfe4"/>
    <w:p>
      <w:pPr>
        <w:pStyle w:val="Heading3"/>
      </w:pPr>
      <w:r>
        <w:t xml:space="preserve">Etapa 2 — Construir os critérios e o universo de controlo</w:t>
      </w:r>
    </w:p>
    <w:p>
      <w:pPr>
        <w:pStyle w:val="FirstParagraph"/>
      </w:pPr>
      <w:r>
        <w:t xml:space="preserve">Mapa dos requisitos aplicáveis aos objetivos de controle, proprietários, sistemas, fontes de evidência e procedimentos de avaliação. Gravar pressupostos de interpretação e exclusões.</w:t>
      </w:r>
    </w:p>
    <w:bookmarkEnd w:id="88"/>
    <w:bookmarkStart w:id="89" w:name="Xdb738b0a57a0162a84138baff853a47a14cd3d7"/>
    <w:p>
      <w:pPr>
        <w:pStyle w:val="Heading3"/>
      </w:pPr>
      <w:r>
        <w:t xml:space="preserve">Etapa 3 — Realizar a avaliação da prontidão</w:t>
      </w:r>
    </w:p>
    <w:p>
      <w:pPr>
        <w:pStyle w:val="FirstParagraph"/>
      </w:pPr>
      <w:r>
        <w:t xml:space="preserve">Reveja o design, implementação e evidências operacionais disponíveis. Utilizar inquérito, inspeção, observação, reperformance, análise populacional e amostragem, conforme apropriado.</w:t>
      </w:r>
    </w:p>
    <w:bookmarkEnd w:id="89"/>
    <w:bookmarkStart w:id="90" w:name="etapa-4-gravar-lacunas-e-validar-factos"/>
    <w:p>
      <w:pPr>
        <w:pStyle w:val="Heading3"/>
      </w:pPr>
      <w:r>
        <w:t xml:space="preserve">Etapa 4 — Gravar lacunas e validar factos</w:t>
      </w:r>
    </w:p>
    <w:p>
      <w:pPr>
        <w:pStyle w:val="FirstParagraph"/>
      </w:pPr>
      <w:r>
        <w:t xml:space="preserve">Critério do documento, condição, evidência, escopo, causa, risco, controles compensadores e proprietário proposto. Permitir um desafio factual apoiado por elementos de prova.</w:t>
      </w:r>
    </w:p>
    <w:bookmarkEnd w:id="90"/>
    <w:bookmarkStart w:id="91" w:name="X358f2874ca607bcb26842623e50d2bfc05fad7a"/>
    <w:p>
      <w:pPr>
        <w:pStyle w:val="Heading3"/>
      </w:pPr>
      <w:r>
        <w:t xml:space="preserve">Etapa 5 — Priorizar e aprovar as conclusões</w:t>
      </w:r>
    </w:p>
    <w:p>
      <w:pPr>
        <w:pStyle w:val="FirstParagraph"/>
      </w:pPr>
      <w:r>
        <w:t xml:space="preserve">Aplicar definições de gravidade aprovadas. Registre classificação final, responsável proprietário, data de aceitação e requisitos de escalada.</w:t>
      </w:r>
    </w:p>
    <w:bookmarkEnd w:id="91"/>
    <w:bookmarkStart w:id="92" w:name="etapa-6-aprovar-planos-de-remediação"/>
    <w:p>
      <w:pPr>
        <w:pStyle w:val="Heading3"/>
      </w:pPr>
      <w:r>
        <w:t xml:space="preserve">Etapa 6 — Aprovar planos de remediação</w:t>
      </w:r>
    </w:p>
    <w:p>
      <w:pPr>
        <w:pStyle w:val="FirstParagraph"/>
      </w:pPr>
      <w:r>
        <w:t xml:space="preserve">Requer ações ligadas a causas, controles provisórios, marcos, recursos, medidas de sucesso, evidências de encerramento e expectativas de risco residual.</w:t>
      </w:r>
    </w:p>
    <w:bookmarkEnd w:id="92"/>
    <w:bookmarkStart w:id="93" w:name="etapa-7-execução-do-monitor"/>
    <w:p>
      <w:pPr>
        <w:pStyle w:val="Heading3"/>
      </w:pPr>
      <w:r>
        <w:t xml:space="preserve">Etapa 7 — Execução do monitor</w:t>
      </w:r>
    </w:p>
    <w:p>
      <w:pPr>
        <w:pStyle w:val="FirstParagraph"/>
      </w:pPr>
      <w:r>
        <w:t xml:space="preserve">Acompanhe marcos, bloqueadores, extensões, mudanças de escopo, risco emergente e evidências. Escalar de acordo com a severidade e regras de governança.</w:t>
      </w:r>
    </w:p>
    <w:bookmarkEnd w:id="93"/>
    <w:bookmarkStart w:id="94" w:name="etapa-8-validar-o-encerramento"/>
    <w:p>
      <w:pPr>
        <w:pStyle w:val="Heading3"/>
      </w:pPr>
      <w:r>
        <w:t xml:space="preserve">Etapa 8 — Validar o encerramento</w:t>
      </w:r>
    </w:p>
    <w:p>
      <w:pPr>
        <w:pStyle w:val="FirstParagraph"/>
      </w:pPr>
      <w:r>
        <w:t xml:space="preserve">Completação e eficácia do teste contra critérios previamente acordados. Registro de evidências, procedimentos, amostra, resultados, risco residual, conclusão e acompanhamento.</w:t>
      </w:r>
    </w:p>
    <w:bookmarkEnd w:id="94"/>
    <w:bookmarkStart w:id="95" w:name="etapa-9-relatar-e-aprender"/>
    <w:p>
      <w:pPr>
        <w:pStyle w:val="Heading3"/>
      </w:pPr>
      <w:r>
        <w:t xml:space="preserve">Etapa 9 — Relatar e aprender</w:t>
      </w:r>
    </w:p>
    <w:p>
      <w:pPr>
        <w:pStyle w:val="FirstParagraph"/>
      </w:pPr>
      <w:r>
        <w:t xml:space="preserve">Relate tendências, causas repetidas, exposição atrasada, restrições de recursos, falhas de fechamento e lições que devem mudar o design de controle ou governança.</w:t>
      </w:r>
    </w:p>
    <w:bookmarkEnd w:id="95"/>
    <w:bookmarkEnd w:id="96"/>
    <w:bookmarkStart w:id="103" w:name="exemplo-trabalhado"/>
    <w:p>
      <w:pPr>
        <w:pStyle w:val="Heading2"/>
      </w:pPr>
      <w:r>
        <w:t xml:space="preserve">Exemplo trabalhado</w:t>
      </w:r>
    </w:p>
    <w:bookmarkStart w:id="97" w:name="cenário"/>
    <w:p>
      <w:pPr>
        <w:pStyle w:val="Heading3"/>
      </w:pPr>
      <w:r>
        <w:t xml:space="preserve">Cenário</w:t>
      </w:r>
    </w:p>
    <w:p>
      <w:pPr>
        <w:pStyle w:val="FirstParagraph"/>
      </w:pPr>
      <w:r>
        <w:t xml:space="preserve">O procedimento de controle de acesso de uma organização requer que as contas de usuário encerradas sejam desabilitadas dentro de um dia útil. Uma análise de prontidão compara os registos de rescisão de recursos humanos com as contas de plataforma de identidade do trimestre anterior.</w:t>
      </w:r>
    </w:p>
    <w:bookmarkEnd w:id="97"/>
    <w:bookmarkStart w:id="98" w:name="provas-e-resultados"/>
    <w:p>
      <w:pPr>
        <w:pStyle w:val="Heading3"/>
      </w:pPr>
      <w:r>
        <w:t xml:space="preserve">Provas e resultados</w:t>
      </w:r>
    </w:p>
    <w:p>
      <w:pPr>
        <w:pStyle w:val="FirstParagraph"/>
      </w:pPr>
      <w:r>
        <w:t xml:space="preserve">O revisor obtém a população de rescisão completa do sistema de RH e a exportação do estatuto de conta da plataforma de identidade. Seis de 120 trabalhadores cessados tiveram contas ativas mais de um dia útil após a cessação. Dois relatos permaneceram ativos por mais de dez dias. Nenhuma evidência de mau uso foi identificada, mas o monitoramento não detectou de forma confiável a deficiência.</w:t>
      </w:r>
    </w:p>
    <w:bookmarkEnd w:id="98"/>
    <w:bookmarkStart w:id="99" w:name="encontração"/>
    <w:p>
      <w:pPr>
        <w:pStyle w:val="Heading3"/>
      </w:pPr>
      <w:r>
        <w:t xml:space="preserve">Encontração</w:t>
      </w:r>
    </w:p>
    <w:p>
      <w:pPr>
        <w:numPr>
          <w:ilvl w:val="0"/>
          <w:numId w:val="1032"/>
        </w:numPr>
        <w:pStyle w:val="Compact"/>
      </w:pPr>
      <w:r>
        <w:t xml:space="preserve">Critério: procedimento de rescisão-acesso aprovado que requer desactivação no prazo de um dia útil.</w:t>
      </w:r>
    </w:p>
    <w:p>
      <w:pPr>
        <w:numPr>
          <w:ilvl w:val="0"/>
          <w:numId w:val="1032"/>
        </w:numPr>
        <w:pStyle w:val="Compact"/>
      </w:pPr>
      <w:r>
        <w:t xml:space="preserve">Condição: seis de 120 contas ultrapassaram o prazo aprovado.</w:t>
      </w:r>
    </w:p>
    <w:p>
      <w:pPr>
        <w:numPr>
          <w:ilvl w:val="0"/>
          <w:numId w:val="1032"/>
        </w:numPr>
        <w:pStyle w:val="Compact"/>
      </w:pPr>
      <w:r>
        <w:t xml:space="preserve">Causa: o processo dependia de notificação manual de e-mail, faltava reconciliação, e não atribuiu propriedade para notificações falhadas.</w:t>
      </w:r>
    </w:p>
    <w:p>
      <w:pPr>
        <w:numPr>
          <w:ilvl w:val="0"/>
          <w:numId w:val="1032"/>
        </w:numPr>
        <w:pStyle w:val="Compact"/>
      </w:pPr>
      <w:r>
        <w:t xml:space="preserve">Risco: ex-trabalhadores poderiam manter acesso não autorizado a sistemas e dados.</w:t>
      </w:r>
    </w:p>
    <w:p>
      <w:pPr>
        <w:numPr>
          <w:ilvl w:val="0"/>
          <w:numId w:val="1032"/>
        </w:numPr>
        <w:pStyle w:val="Compact"/>
      </w:pPr>
      <w:r>
        <w:t xml:space="preserve">Prioridade: alta, baseada na exposição ao acesso, duração e fraqueza de monitoramento.</w:t>
      </w:r>
    </w:p>
    <w:bookmarkEnd w:id="99"/>
    <w:bookmarkStart w:id="100" w:name="plano-de-reparação"/>
    <w:p>
      <w:pPr>
        <w:pStyle w:val="Heading3"/>
      </w:pPr>
      <w:r>
        <w:t xml:space="preserve">Plano de reparação</w:t>
      </w:r>
    </w:p>
    <w:p>
      <w:pPr>
        <w:numPr>
          <w:ilvl w:val="0"/>
          <w:numId w:val="1033"/>
        </w:numPr>
        <w:pStyle w:val="Compact"/>
      </w:pPr>
      <w:r>
        <w:t xml:space="preserve">Aplicar a reconciliação diária de RH-para-identidade.</w:t>
      </w:r>
    </w:p>
    <w:p>
      <w:pPr>
        <w:numPr>
          <w:ilvl w:val="0"/>
          <w:numId w:val="1033"/>
        </w:numPr>
        <w:pStyle w:val="Compact"/>
      </w:pPr>
      <w:r>
        <w:t xml:space="preserve">Atribuir propriedade de exceção às operações de identidade.</w:t>
      </w:r>
    </w:p>
    <w:p>
      <w:pPr>
        <w:numPr>
          <w:ilvl w:val="0"/>
          <w:numId w:val="1033"/>
        </w:numPr>
        <w:pStyle w:val="Compact"/>
      </w:pPr>
      <w:r>
        <w:t xml:space="preserve">Crie uma regra de alerta e escalada de contas atrasadas.</w:t>
      </w:r>
    </w:p>
    <w:p>
      <w:pPr>
        <w:numPr>
          <w:ilvl w:val="0"/>
          <w:numId w:val="1033"/>
        </w:numPr>
        <w:pStyle w:val="Compact"/>
      </w:pPr>
      <w:r>
        <w:t xml:space="preserve">Corrija todas as exceções atuais.</w:t>
      </w:r>
    </w:p>
    <w:p>
      <w:pPr>
        <w:numPr>
          <w:ilvl w:val="0"/>
          <w:numId w:val="1033"/>
        </w:numPr>
        <w:pStyle w:val="Compact"/>
      </w:pPr>
      <w:r>
        <w:t xml:space="preserve">Teste a população completa semanalmente durante oito semanas.</w:t>
      </w:r>
    </w:p>
    <w:p>
      <w:pPr>
        <w:numPr>
          <w:ilvl w:val="0"/>
          <w:numId w:val="1033"/>
        </w:numPr>
        <w:pStyle w:val="Compact"/>
      </w:pPr>
      <w:r>
        <w:t xml:space="preserve">Reporte exceções e tempo de resposta ao fórum de governança de segurança.</w:t>
      </w:r>
    </w:p>
    <w:bookmarkEnd w:id="100"/>
    <w:bookmarkStart w:id="101" w:name="critérios-de-encerramento-1"/>
    <w:p>
      <w:pPr>
        <w:pStyle w:val="Heading3"/>
      </w:pPr>
      <w:r>
        <w:t xml:space="preserve">Critérios de encerramento</w:t>
      </w:r>
    </w:p>
    <w:p>
      <w:pPr>
        <w:numPr>
          <w:ilvl w:val="0"/>
          <w:numId w:val="1034"/>
        </w:numPr>
        <w:pStyle w:val="Compact"/>
      </w:pPr>
      <w:r>
        <w:t xml:space="preserve">Todas as contas correntes vencidas corrigidas;</w:t>
      </w:r>
    </w:p>
    <w:p>
      <w:pPr>
        <w:numPr>
          <w:ilvl w:val="0"/>
          <w:numId w:val="1034"/>
        </w:numPr>
        <w:pStyle w:val="Compact"/>
      </w:pPr>
      <w:r>
        <w:t xml:space="preserve">Reconciliação diária automatizada;</w:t>
      </w:r>
    </w:p>
    <w:p>
      <w:pPr>
        <w:numPr>
          <w:ilvl w:val="0"/>
          <w:numId w:val="1034"/>
        </w:numPr>
        <w:pStyle w:val="Compact"/>
      </w:pPr>
      <w:r>
        <w:t xml:space="preserve">Propriedade e escalada documentadas;</w:t>
      </w:r>
    </w:p>
    <w:p>
      <w:pPr>
        <w:numPr>
          <w:ilvl w:val="0"/>
          <w:numId w:val="1034"/>
        </w:numPr>
        <w:pStyle w:val="Compact"/>
      </w:pPr>
      <w:r>
        <w:t xml:space="preserve">oito semanas de evidência populacional;</w:t>
      </w:r>
    </w:p>
    <w:p>
      <w:pPr>
        <w:numPr>
          <w:ilvl w:val="0"/>
          <w:numId w:val="1034"/>
        </w:numPr>
        <w:pStyle w:val="Compact"/>
      </w:pPr>
      <w:r>
        <w:t xml:space="preserve">Nenhuma conta vencida inexplicável;</w:t>
      </w:r>
    </w:p>
    <w:p>
      <w:pPr>
        <w:numPr>
          <w:ilvl w:val="0"/>
          <w:numId w:val="1034"/>
        </w:numPr>
        <w:pStyle w:val="Compact"/>
      </w:pPr>
      <w:r>
        <w:t xml:space="preserve">exceções resolvidas dentro do prazo aprovado ou formalmente agravadas.</w:t>
      </w:r>
    </w:p>
    <w:bookmarkEnd w:id="101"/>
    <w:bookmarkStart w:id="102" w:name="conclusão-da-validação"/>
    <w:p>
      <w:pPr>
        <w:pStyle w:val="Heading3"/>
      </w:pPr>
      <w:r>
        <w:t xml:space="preserve">Conclusão da validação</w:t>
      </w:r>
    </w:p>
    <w:p>
      <w:pPr>
        <w:pStyle w:val="FirstParagraph"/>
      </w:pPr>
      <w:r>
        <w:t xml:space="preserve">Se a evidência de oito semanas apoiar os critérios, a constatação pode ser encerrada com a monitorização trimestral contínua. Se as contas em atraso permanecerem ou a população de reconciliação estiver incompleta, a validação falha e a descoberta permanece em aberto.</w:t>
      </w:r>
    </w:p>
    <w:bookmarkEnd w:id="102"/>
    <w:bookmarkEnd w:id="103"/>
    <w:bookmarkStart w:id="107" w:name="roteiro-prático-de-aplicação"/>
    <w:p>
      <w:pPr>
        <w:pStyle w:val="Heading2"/>
      </w:pPr>
      <w:r>
        <w:t xml:space="preserve">Roteiro prático de aplicação</w:t>
      </w:r>
    </w:p>
    <w:bookmarkStart w:id="104" w:name="primeiros-30-dias"/>
    <w:p>
      <w:pPr>
        <w:pStyle w:val="Heading3"/>
      </w:pPr>
      <w:r>
        <w:t xml:space="preserve">Primeiros 30 dias</w:t>
      </w:r>
    </w:p>
    <w:p>
      <w:pPr>
        <w:numPr>
          <w:ilvl w:val="0"/>
          <w:numId w:val="1035"/>
        </w:numPr>
        <w:pStyle w:val="Compact"/>
      </w:pPr>
      <w:r>
        <w:t xml:space="preserve">aprovar as definições de governação e gravidade;</w:t>
      </w:r>
    </w:p>
    <w:p>
      <w:pPr>
        <w:numPr>
          <w:ilvl w:val="0"/>
          <w:numId w:val="1035"/>
        </w:numPr>
        <w:pStyle w:val="Compact"/>
      </w:pPr>
      <w:r>
        <w:t xml:space="preserve">Inventário das próximas atividades de garantia;</w:t>
      </w:r>
    </w:p>
    <w:p>
      <w:pPr>
        <w:numPr>
          <w:ilvl w:val="0"/>
          <w:numId w:val="1035"/>
        </w:numPr>
        <w:pStyle w:val="Compact"/>
      </w:pPr>
      <w:r>
        <w:t xml:space="preserve">Estabelecer o mapa dos critérios de controlo;</w:t>
      </w:r>
    </w:p>
    <w:p>
      <w:pPr>
        <w:numPr>
          <w:ilvl w:val="0"/>
          <w:numId w:val="1035"/>
        </w:numPr>
        <w:pStyle w:val="Compact"/>
      </w:pPr>
      <w:r>
        <w:t xml:space="preserve">Identificar os proprietários do controlo e da reparação;</w:t>
      </w:r>
    </w:p>
    <w:p>
      <w:pPr>
        <w:numPr>
          <w:ilvl w:val="0"/>
          <w:numId w:val="1035"/>
        </w:numPr>
        <w:pStyle w:val="Compact"/>
      </w:pPr>
      <w:r>
        <w:t xml:space="preserve">Preparar e encontrar os localizadores.</w:t>
      </w:r>
    </w:p>
    <w:bookmarkEnd w:id="104"/>
    <w:bookmarkStart w:id="105" w:name="dias-3160"/>
    <w:p>
      <w:pPr>
        <w:pStyle w:val="Heading3"/>
      </w:pPr>
      <w:r>
        <w:t xml:space="preserve">Dias 31–60</w:t>
      </w:r>
    </w:p>
    <w:p>
      <w:pPr>
        <w:numPr>
          <w:ilvl w:val="0"/>
          <w:numId w:val="1036"/>
        </w:numPr>
        <w:pStyle w:val="Compact"/>
      </w:pPr>
      <w:r>
        <w:t xml:space="preserve">Realizar análises de prontidão baseadas no risco;</w:t>
      </w:r>
    </w:p>
    <w:p>
      <w:pPr>
        <w:numPr>
          <w:ilvl w:val="0"/>
          <w:numId w:val="1036"/>
        </w:numPr>
        <w:pStyle w:val="Compact"/>
      </w:pPr>
      <w:r>
        <w:t xml:space="preserve">validar os resultados e as causas;</w:t>
      </w:r>
    </w:p>
    <w:p>
      <w:pPr>
        <w:numPr>
          <w:ilvl w:val="0"/>
          <w:numId w:val="1036"/>
        </w:numPr>
        <w:pStyle w:val="Compact"/>
      </w:pPr>
      <w:r>
        <w:t xml:space="preserve">aprovar planos de reparação;</w:t>
      </w:r>
    </w:p>
    <w:p>
      <w:pPr>
        <w:numPr>
          <w:ilvl w:val="0"/>
          <w:numId w:val="1036"/>
        </w:numPr>
        <w:pStyle w:val="Compact"/>
      </w:pPr>
      <w:r>
        <w:t xml:space="preserve">Iniciar o relatório sobre a governação;</w:t>
      </w:r>
    </w:p>
    <w:p>
      <w:pPr>
        <w:numPr>
          <w:ilvl w:val="0"/>
          <w:numId w:val="1036"/>
        </w:numPr>
        <w:pStyle w:val="Compact"/>
      </w:pPr>
      <w:r>
        <w:t xml:space="preserve">Estabelecer normas de encerramento-evidência.</w:t>
      </w:r>
    </w:p>
    <w:bookmarkEnd w:id="105"/>
    <w:bookmarkStart w:id="106" w:name="dias-61-90"/>
    <w:p>
      <w:pPr>
        <w:pStyle w:val="Heading3"/>
      </w:pPr>
      <w:r>
        <w:t xml:space="preserve">Dias 61-90</w:t>
      </w:r>
    </w:p>
    <w:p>
      <w:pPr>
        <w:numPr>
          <w:ilvl w:val="0"/>
          <w:numId w:val="1037"/>
        </w:numPr>
        <w:pStyle w:val="Compact"/>
      </w:pPr>
      <w:r>
        <w:t xml:space="preserve">validar os resultados da reparação precoce;</w:t>
      </w:r>
    </w:p>
    <w:p>
      <w:pPr>
        <w:numPr>
          <w:ilvl w:val="0"/>
          <w:numId w:val="1037"/>
        </w:numPr>
        <w:pStyle w:val="Compact"/>
      </w:pPr>
      <w:r>
        <w:t xml:space="preserve">analisar causas recorrentes e gargalos;</w:t>
      </w:r>
    </w:p>
    <w:p>
      <w:pPr>
        <w:numPr>
          <w:ilvl w:val="0"/>
          <w:numId w:val="1037"/>
        </w:numPr>
        <w:pStyle w:val="Compact"/>
      </w:pPr>
      <w:r>
        <w:t xml:space="preserve">métricas de refino e limiares de escalada;</w:t>
      </w:r>
    </w:p>
    <w:p>
      <w:pPr>
        <w:numPr>
          <w:ilvl w:val="0"/>
          <w:numId w:val="1037"/>
        </w:numPr>
        <w:pStyle w:val="Compact"/>
      </w:pPr>
      <w:r>
        <w:t xml:space="preserve">Programar análises de sustentabilidade;</w:t>
      </w:r>
    </w:p>
    <w:p>
      <w:pPr>
        <w:numPr>
          <w:ilvl w:val="0"/>
          <w:numId w:val="1037"/>
        </w:numPr>
        <w:pStyle w:val="Compact"/>
      </w:pPr>
      <w:r>
        <w:t xml:space="preserve">integrar lições no acompanhamento contínuo do controlo.</w:t>
      </w:r>
    </w:p>
    <w:bookmarkEnd w:id="106"/>
    <w:bookmarkEnd w:id="107"/>
    <w:bookmarkStart w:id="108" w:name="princípio-final"/>
    <w:p>
      <w:pPr>
        <w:pStyle w:val="Heading2"/>
      </w:pPr>
      <w:r>
        <w:t xml:space="preserve">Princípio final</w:t>
      </w:r>
    </w:p>
    <w:p>
      <w:pPr>
        <w:pStyle w:val="FirstParagraph"/>
      </w:pPr>
      <w:r>
        <w:t xml:space="preserve">A prontidão é uma capacidade de governança contínua. O objetivo não é criar o aparecimento de conformidade para uma data de avaliação, mas manter controles e provas que permaneçam credíveis antes, durante e após revisão independente.</w:t>
      </w:r>
    </w:p>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Alberto Al Leiva</dc:creator>
  <dc:language>pt-BR</dc:language>
  <cp:keywords/>
  <dcterms:created xsi:type="dcterms:W3CDTF">2026-08-01T18:02:59Z</dcterms:created>
  <dcterms:modified xsi:type="dcterms:W3CDTF">2026-08-01T18:02:59Z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unto">
    <vt:lpwstr>GRC, preparación para auditórios, hallazgos, remediación y validación de cierre</vt:lpwstr>
  </property>
  <property fmtid="{D5CDD505-2E9C-101B-9397-08002B2CF9AE}" pid="3" name="autor">
    <vt:lpwstr>Alberto Al Leiva</vt:lpwstr>
  </property>
  <property fmtid="{D5CDD505-2E9C-101B-9397-08002B2CF9AE}" pid="4" name="data">
    <vt:lpwstr>1 de agosto de 2026</vt:lpwstr>
  </property>
  <property fmtid="{D5CDD505-2E9C-101B-9397-08002B2CF9AE}" pid="5" name="direitos">
    <vt:lpwstr>CC BY-NC-SA 4.0 salvo que un archivo indique lo contrario</vt:lpwstr>
  </property>
  <property fmtid="{D5CDD505-2E9C-101B-9397-08002B2CF9AE}" pid="6" name="status">
    <vt:lpwstr>Candidato de publicação assistida por máquina; não é apresentado como revisão linguística nativa.</vt:lpwstr>
  </property>
  <property fmtid="{D5CDD505-2E9C-101B-9397-08002B2CF9AE}" pid="7" name="título">
    <vt:lpwstr>Manual Prático de Preparação para Auditorias e Gestão de Remediação</vt:lpwstr>
  </property>
</Properties>
</file>